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CF" w:rsidRDefault="00F74FCF" w:rsidP="003115A5">
      <w:pPr>
        <w:spacing w:after="0" w:line="190" w:lineRule="atLeast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Příloha č. </w:t>
      </w:r>
      <w:r w:rsidR="006A47FE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12</w:t>
      </w:r>
      <w:bookmarkStart w:id="0" w:name="_GoBack"/>
      <w:bookmarkEnd w:id="0"/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- Podpora sociálních služeb na území MAS z OPZ - Vyrovnávací platba</w:t>
      </w:r>
    </w:p>
    <w:p w:rsidR="00F74FCF" w:rsidRDefault="00F74FCF" w:rsidP="00F74FCF">
      <w:pPr>
        <w:spacing w:after="0" w:line="180" w:lineRule="atLeast"/>
        <w:rPr>
          <w:rFonts w:eastAsia="Times New Roman" w:cstheme="minorHAnsi"/>
          <w:b/>
          <w:bCs/>
          <w:color w:val="000000"/>
          <w:lang w:eastAsia="cs-CZ"/>
        </w:rPr>
      </w:pPr>
    </w:p>
    <w:p w:rsidR="00F74FCF" w:rsidRPr="00F74FCF" w:rsidRDefault="00F74FCF" w:rsidP="003115A5">
      <w:pPr>
        <w:spacing w:after="60" w:line="180" w:lineRule="atLeast"/>
        <w:rPr>
          <w:rFonts w:eastAsia="Times New Roman" w:cstheme="minorHAnsi"/>
          <w:b/>
          <w:bCs/>
          <w:color w:val="0070C0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lang w:eastAsia="cs-CZ"/>
        </w:rPr>
        <w:t>Obecná ustanovení</w:t>
      </w:r>
    </w:p>
    <w:p w:rsidR="00F74FCF" w:rsidRPr="00F74FCF" w:rsidRDefault="00F74FCF" w:rsidP="003115A5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(1)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Sociální služby uvedené ve výzvě, které jsou poskytované podle zákona č. 108/2006 Sb., o sociálních službách, ve znění pozdějších předpisů (dále jen „zákon o sociálních službách“) jsou považovány za služby obecného hospodářského zájmu (SOHZ) coby pojmu evropského práva.</w:t>
      </w:r>
    </w:p>
    <w:p w:rsidR="00F74FCF" w:rsidRPr="00F74FCF" w:rsidRDefault="00F74FCF" w:rsidP="003115A5">
      <w:pPr>
        <w:spacing w:after="60" w:line="170" w:lineRule="atLeast"/>
        <w:ind w:hanging="29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(2) V rámci výzvy mohou být financovány pouze sociální služby, které jsou zařazeny do krajské popř. obecní sítě sociálních služeb a jsou v souladu se střednědobým plánem rozvoje sociálních služeb kraje popř. obce (viz dále bod 5). Síť sociálních služeb musí být vytvářena rovným a transparentním způsobem, tj. sociální služby musí projít řádným soutěžním procesem na úrovni sítě a podléhat předem stanoveným a jednoznačným kritériím při tvorbě sítě.</w:t>
      </w:r>
    </w:p>
    <w:p w:rsidR="00F74FCF" w:rsidRPr="00F74FCF" w:rsidRDefault="00F74FCF" w:rsidP="003115A5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(3)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Sociální služby budou financovány formou 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vyrovnávací platby, upravené Rozhodnutím Komise č. 2012/21/EU </w:t>
      </w:r>
      <w:r w:rsidRPr="00F74FCF">
        <w:rPr>
          <w:rFonts w:eastAsia="Times New Roman" w:cstheme="minorHAnsi"/>
          <w:color w:val="000000"/>
          <w:lang w:eastAsia="cs-CZ"/>
        </w:rPr>
        <w:t>ze dne 20. prosince 2011 o použití čl. 106 odst. 2</w:t>
      </w:r>
    </w:p>
    <w:p w:rsidR="00F74FCF" w:rsidRPr="00F74FCF" w:rsidRDefault="00F74FCF" w:rsidP="003115A5">
      <w:pPr>
        <w:spacing w:after="6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Smlouvy o fungování Evropské unie na státní podporu ve formě vyrovnávací platby za závazek veřejné služby udělené určitým podnikům pověřeným poskytováním služeb obecného hospodářského zájmu (dále jen „Rozhodnutí č. 2012/21/EU“).</w:t>
      </w:r>
    </w:p>
    <w:p w:rsidR="00F74FCF" w:rsidRPr="00F74FCF" w:rsidRDefault="00F74FCF" w:rsidP="003115A5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(4)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Žadatelem v rámci této výzvy může být 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pouze poskytovatel sociální služby registrovaný podle zákona o sociálních službách. </w:t>
      </w:r>
      <w:r w:rsidRPr="00F74FCF">
        <w:rPr>
          <w:rFonts w:eastAsia="Times New Roman" w:cstheme="minorHAnsi"/>
          <w:color w:val="000000"/>
          <w:lang w:eastAsia="cs-CZ"/>
        </w:rPr>
        <w:t>Žadatel (poskytovatel sociální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služby) musí být pověřen objednatelem k poskytování služby obecného hospodářského zájmu (sociální služby) v souladu s Rozhodnutím č. 2012/21/EU.</w:t>
      </w:r>
      <w:r w:rsidRPr="003115A5">
        <w:rPr>
          <w:rFonts w:eastAsia="Times New Roman" w:cstheme="minorHAnsi"/>
          <w:color w:val="000000"/>
          <w:vertAlign w:val="superscript"/>
          <w:lang w:eastAsia="cs-CZ"/>
        </w:rPr>
        <w:t>1</w:t>
      </w:r>
    </w:p>
    <w:p w:rsidR="00F74FCF" w:rsidRPr="00F74FCF" w:rsidRDefault="00F74FCF" w:rsidP="003115A5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(5)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Objednatelem, který je oprávněn vydat Pověření, </w:t>
      </w:r>
      <w:r w:rsidRPr="00F74FCF">
        <w:rPr>
          <w:rFonts w:eastAsia="Times New Roman" w:cstheme="minorHAnsi"/>
          <w:color w:val="000000"/>
          <w:lang w:eastAsia="cs-CZ"/>
        </w:rPr>
        <w:t>se pro účely této výzvy rozumí</w:t>
      </w:r>
      <w:r w:rsidRPr="003115A5">
        <w:rPr>
          <w:rFonts w:eastAsia="Times New Roman" w:cstheme="minorHAnsi"/>
          <w:color w:val="000000"/>
          <w:lang w:eastAsia="cs-CZ"/>
        </w:rPr>
        <w:t> 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kraj popř. obec </w:t>
      </w:r>
      <w:r w:rsidRPr="00F74FCF">
        <w:rPr>
          <w:rFonts w:eastAsia="Times New Roman" w:cstheme="minorHAnsi"/>
          <w:color w:val="000000"/>
          <w:lang w:eastAsia="cs-CZ"/>
        </w:rPr>
        <w:t>u sociálních služeb zařazených do sítě sociálních služeb na území kraje, kterou kraj vytváří v souladu s § 95 písm. h) zákona o sociálních službách ve spolupráci s obcemi.</w:t>
      </w:r>
    </w:p>
    <w:p w:rsidR="003115A5" w:rsidRDefault="00F74FCF" w:rsidP="003115A5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(6)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U sociálních služeb zařazených do sítě sociálních služeb na území kraje Pověření zpravidla vydává kraj, neboť kraj dle § 95 h) zákona o sociálních službách určuje síť sociálních služeb na území celého kraje. Pověření po dohodě s krajem může vydat i obec, a to v případě sociální služby s lokálním významem. Podmínkou vydání Pověření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obcí je schválený střednědobý plán rozvoje sociálních služeb obce, jehož součástí je i „obecní síť“ sociálních služeb</w:t>
      </w:r>
      <w:r w:rsidRPr="003115A5">
        <w:rPr>
          <w:rFonts w:eastAsia="Times New Roman" w:cstheme="minorHAnsi"/>
          <w:color w:val="000000"/>
          <w:vertAlign w:val="superscript"/>
          <w:lang w:eastAsia="cs-CZ"/>
        </w:rPr>
        <w:t>2</w:t>
      </w:r>
      <w:r w:rsidRPr="00F74FCF">
        <w:rPr>
          <w:rFonts w:eastAsia="Times New Roman" w:cstheme="minorHAnsi"/>
          <w:color w:val="000000"/>
          <w:lang w:eastAsia="cs-CZ"/>
        </w:rPr>
        <w:t>. Obec si musí být vědoma, že po ukončení financování lokální služby z OPZ přechází povinnost plného či částečného financování služby na obec jako objednatele.</w:t>
      </w:r>
    </w:p>
    <w:p w:rsidR="00F74FCF" w:rsidRPr="00F74FCF" w:rsidRDefault="00F74FCF" w:rsidP="007552C8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(7)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Podmínkou pro poskytnutí podpory z OPZ je ověřitelná skutečnost, že po celou dobu</w:t>
      </w:r>
      <w:r w:rsidR="007552C8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realizace projektu bude příjemce v rámci projektu realizovat činnosti, které spadají pod Pověření,</w:t>
      </w:r>
      <w:r w:rsidRPr="003115A5">
        <w:rPr>
          <w:rFonts w:eastAsia="Times New Roman" w:cstheme="minorHAnsi"/>
          <w:color w:val="000000"/>
          <w:lang w:eastAsia="cs-CZ"/>
        </w:rPr>
        <w:t> </w:t>
      </w:r>
      <w:r w:rsidRPr="003115A5">
        <w:rPr>
          <w:rFonts w:eastAsia="Times New Roman" w:cstheme="minorHAnsi"/>
          <w:b/>
          <w:bCs/>
          <w:color w:val="000000"/>
          <w:lang w:eastAsia="cs-CZ"/>
        </w:rPr>
        <w:t>tj. poskytovatel sociální služby musí být po dobu trvání projektu objednatelem pověřen k poskytování příslušné sociální služby.</w:t>
      </w:r>
    </w:p>
    <w:p w:rsidR="00F74FCF" w:rsidRPr="00F74FCF" w:rsidRDefault="00F74FCF" w:rsidP="003115A5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(8)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Pověření, kterým objednatel pověřil poskytovatele poskytováním sociální služby, musí zohledňovat náležitosti stanovené v článku 4 Rozhodnutí č.2012/21/EU. Je požadováno, aby Pověření bylo vydáno jako samostatný dokument (tj. nikoliv jako součást smlouvy či rozhodnutí, na základě které jsou poskytovány finanční prostředky na službu).</w:t>
      </w:r>
    </w:p>
    <w:p w:rsidR="00F74FCF" w:rsidRPr="00F74FCF" w:rsidRDefault="00F74FCF" w:rsidP="003115A5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3115A5">
        <w:rPr>
          <w:rFonts w:eastAsia="Times New Roman" w:cstheme="minorHAnsi"/>
          <w:color w:val="000000"/>
          <w:lang w:eastAsia="cs-CZ"/>
        </w:rPr>
        <w:t>(9)</w:t>
      </w:r>
      <w:r w:rsidR="003115A5">
        <w:rPr>
          <w:rFonts w:eastAsia="Times New Roman" w:cstheme="minorHAnsi"/>
          <w:color w:val="000000"/>
          <w:lang w:eastAsia="cs-CZ"/>
        </w:rPr>
        <w:t xml:space="preserve"> </w:t>
      </w:r>
      <w:r w:rsidRPr="003115A5">
        <w:rPr>
          <w:rFonts w:eastAsia="Times New Roman" w:cstheme="minorHAnsi"/>
          <w:color w:val="000000"/>
          <w:lang w:eastAsia="cs-CZ"/>
        </w:rPr>
        <w:t>Pověření (nebo jiný právní akt, na který se Pověření případně odkazuje) musí obsahovat základní mechanismus pro stanovení (výpočet) vyrovnávací platby, který zahrnuje i úpravu vyrovnávací platby o podpory poskytnuté ve vazbě na zaměření projektu OPZ v rámci této výzvy.</w:t>
      </w:r>
    </w:p>
    <w:p w:rsidR="00F74FCF" w:rsidRPr="00F74FCF" w:rsidRDefault="00F74FCF" w:rsidP="003115A5">
      <w:pPr>
        <w:spacing w:after="60" w:line="240" w:lineRule="auto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3115A5">
        <w:rPr>
          <w:rFonts w:eastAsia="Times New Roman" w:cstheme="minorHAnsi"/>
          <w:i/>
          <w:color w:val="000000"/>
          <w:sz w:val="16"/>
          <w:szCs w:val="16"/>
          <w:lang w:eastAsia="cs-CZ"/>
        </w:rPr>
        <w:t>1Žadatel předkládá Pověření nejpozději před vydáním rozhodnutí o poskytnutí dotace na projekt. Toto Pověření je podkladem pro vydání rozhodnutí o poskytnutí dotace na projekt.</w:t>
      </w:r>
    </w:p>
    <w:p w:rsidR="00F74FCF" w:rsidRDefault="00F74FCF" w:rsidP="003115A5">
      <w:pPr>
        <w:spacing w:after="60" w:line="240" w:lineRule="auto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3115A5">
        <w:rPr>
          <w:rFonts w:eastAsia="Times New Roman" w:cstheme="minorHAnsi"/>
          <w:i/>
          <w:color w:val="000000"/>
          <w:sz w:val="16"/>
          <w:szCs w:val="16"/>
          <w:lang w:eastAsia="cs-CZ"/>
        </w:rPr>
        <w:t>2V tomto případě sociální služba nemusí být zařazena do krajské sítě sociálních služeb, musí však být v souladu s cíli a prioritami střednědobého plánu rozvoje sociálních služeb kraje. Ve střednědobém plánu rozvoje sociálních služeb obce musí být uvedeny zjištěné potřeby osob v nepříznivé sociální situaci na území obce, na které je reagováno prostřednictvím sociální služby s lokálním významem, v plánu bude taktéž uveden potřebný rozsah (kapacita služby).</w:t>
      </w:r>
    </w:p>
    <w:p w:rsidR="007552C8" w:rsidRPr="00F74FCF" w:rsidRDefault="007552C8" w:rsidP="003115A5">
      <w:pPr>
        <w:spacing w:after="60" w:line="240" w:lineRule="auto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</w:p>
    <w:p w:rsidR="00F74FCF" w:rsidRPr="00F74FCF" w:rsidRDefault="00F74FCF" w:rsidP="003115A5">
      <w:pPr>
        <w:spacing w:after="60" w:line="170" w:lineRule="atLeast"/>
        <w:ind w:hanging="31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 xml:space="preserve"> (10)Podpora v rámci projektu OPZ může být poskytnuta pouze v limitech daného Pověření k poskytování sociální služby.</w:t>
      </w:r>
    </w:p>
    <w:p w:rsidR="00F74FCF" w:rsidRPr="00F74FCF" w:rsidRDefault="00F74FCF" w:rsidP="00F74FCF">
      <w:pPr>
        <w:spacing w:before="490" w:after="0" w:line="180" w:lineRule="atLeast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lastRenderedPageBreak/>
        <w:t>Povinné přílohy žádosti o podporu z OPZ</w:t>
      </w:r>
    </w:p>
    <w:p w:rsidR="00F74FCF" w:rsidRPr="00F74FCF" w:rsidRDefault="00F74FCF" w:rsidP="00F74FCF">
      <w:pPr>
        <w:spacing w:before="7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V případě zaměření projektu na poskytování sociální služby (</w:t>
      </w:r>
      <w:r w:rsidR="003115A5">
        <w:rPr>
          <w:rFonts w:eastAsia="Times New Roman" w:cstheme="minorHAnsi"/>
          <w:color w:val="000000"/>
          <w:lang w:eastAsia="cs-CZ"/>
        </w:rPr>
        <w:t>viz</w:t>
      </w:r>
      <w:r w:rsidRPr="00F74FCF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lang w:eastAsia="cs-CZ"/>
        </w:rPr>
        <w:t xml:space="preserve">Příloze č. </w:t>
      </w:r>
      <w:r w:rsidR="003115A5" w:rsidRPr="003115A5">
        <w:rPr>
          <w:rFonts w:eastAsia="Times New Roman" w:cstheme="minorHAnsi"/>
          <w:lang w:eastAsia="cs-CZ"/>
        </w:rPr>
        <w:t>2</w:t>
      </w:r>
      <w:r w:rsidRPr="00F74FCF">
        <w:rPr>
          <w:rFonts w:eastAsia="Times New Roman" w:cstheme="minorHAnsi"/>
          <w:lang w:eastAsia="cs-CZ"/>
        </w:rPr>
        <w:t xml:space="preserve"> - </w:t>
      </w:r>
      <w:r w:rsidR="003115A5" w:rsidRPr="003115A5">
        <w:rPr>
          <w:rFonts w:cstheme="minorHAnsi"/>
        </w:rPr>
        <w:t>Popis podporovaných aktivit a cílových skupin</w:t>
      </w:r>
      <w:r w:rsidRPr="00F74FCF">
        <w:rPr>
          <w:rFonts w:eastAsia="Times New Roman" w:cstheme="minorHAnsi"/>
          <w:lang w:eastAsia="cs-CZ"/>
        </w:rPr>
        <w:t>) žadatel (poskytovatel sociální s</w:t>
      </w:r>
      <w:r w:rsidRPr="00F74FCF">
        <w:rPr>
          <w:rFonts w:eastAsia="Times New Roman" w:cstheme="minorHAnsi"/>
          <w:color w:val="000000"/>
          <w:lang w:eastAsia="cs-CZ"/>
        </w:rPr>
        <w:t>lužby) nad rámec povinných příloh stanovených v Obecné části pravidel pro žadatele a příjemce v rámci OPZ předkládá k žádosti o podporu tyto přílohy:</w:t>
      </w:r>
    </w:p>
    <w:p w:rsidR="00F74FCF" w:rsidRPr="00F74FCF" w:rsidRDefault="00F74FCF" w:rsidP="00F74FCF">
      <w:pPr>
        <w:spacing w:before="31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sym w:font="Wingdings" w:char="F0D8"/>
      </w:r>
      <w:r w:rsidRPr="00F74FCF">
        <w:rPr>
          <w:rFonts w:eastAsia="Times New Roman" w:cstheme="minorHAnsi"/>
          <w:b/>
          <w:bCs/>
          <w:color w:val="000000"/>
          <w:lang w:eastAsia="cs-CZ"/>
        </w:rPr>
        <w:t>Údaje o sociální službě </w:t>
      </w:r>
      <w:r w:rsidRPr="00F74FCF">
        <w:rPr>
          <w:rFonts w:eastAsia="Times New Roman" w:cstheme="minorHAnsi"/>
          <w:color w:val="000000"/>
          <w:lang w:eastAsia="cs-CZ"/>
        </w:rPr>
        <w:t xml:space="preserve">(viz část 7.1 výzvy a Příloha č. </w:t>
      </w:r>
      <w:r w:rsidR="003115A5">
        <w:rPr>
          <w:rFonts w:eastAsia="Times New Roman" w:cstheme="minorHAnsi"/>
          <w:color w:val="000000"/>
          <w:lang w:eastAsia="cs-CZ"/>
        </w:rPr>
        <w:t>6 výzvy</w:t>
      </w:r>
      <w:r w:rsidRPr="00F74FCF">
        <w:rPr>
          <w:rFonts w:eastAsia="Times New Roman" w:cstheme="minorHAnsi"/>
          <w:color w:val="000000"/>
          <w:lang w:eastAsia="cs-CZ"/>
        </w:rPr>
        <w:t>)</w:t>
      </w:r>
    </w:p>
    <w:p w:rsidR="00F74FCF" w:rsidRPr="00F74FCF" w:rsidRDefault="00F74FCF" w:rsidP="00F74FCF">
      <w:pPr>
        <w:spacing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Příloha obsahuje ke každé v projektu uvedené sociální službě následující údaje:</w:t>
      </w:r>
    </w:p>
    <w:p w:rsidR="00F74FCF" w:rsidRPr="00F74FCF" w:rsidRDefault="00F74FCF" w:rsidP="00F74FCF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a)základní identifikační údaje poskytovatele sociální služby - název organizace a identifikační číslo (IČ),</w:t>
      </w:r>
    </w:p>
    <w:p w:rsidR="00F74FCF" w:rsidRPr="00F74FCF" w:rsidRDefault="00F74FCF" w:rsidP="00F74FCF">
      <w:pPr>
        <w:spacing w:before="10" w:after="0" w:line="17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b)základní identifikační údaje sociální služby - číselné označení sociální služby (identifikátor), druh a forma služby,</w:t>
      </w:r>
    </w:p>
    <w:p w:rsidR="00F74FCF" w:rsidRPr="00F74FCF" w:rsidRDefault="00F74FCF" w:rsidP="00F74FCF">
      <w:pPr>
        <w:spacing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c)cílová skupina sociální služby (okruh osob, kterým je služba poskytována),</w:t>
      </w:r>
    </w:p>
    <w:p w:rsidR="00F74FCF" w:rsidRPr="00F74FCF" w:rsidRDefault="00F74FCF" w:rsidP="00F74FCF">
      <w:pPr>
        <w:spacing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d)místo poskytování sociální služby a územní působnost,</w:t>
      </w:r>
    </w:p>
    <w:p w:rsidR="00F74FCF" w:rsidRPr="00F74FCF" w:rsidRDefault="00F74FCF" w:rsidP="00F74FCF">
      <w:pPr>
        <w:spacing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e)počet měsíců poskytování sociální služby,</w:t>
      </w:r>
    </w:p>
    <w:p w:rsidR="00F74FCF" w:rsidRPr="00F74FCF" w:rsidRDefault="00F74FCF" w:rsidP="00F74FCF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f)(předpokládaný) rozsah služby vyjádřený v počtu jednotek (pobytové služby - zejm. počet lůžek, počet lůžko/dnů, ambulantní a terénní služby -</w:t>
      </w:r>
    </w:p>
    <w:p w:rsidR="00041862" w:rsidRDefault="00F74FCF" w:rsidP="00041862">
      <w:pPr>
        <w:spacing w:before="10"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počet celkových úvazků pracovníků služby v rozdělení na úvazky pracovníků v přímé péči a ostatních pracovníků, počet uživatelů apod.), jednotku pro vyjádření kapacity sociální služby poskytovatel uvede v souladu s používaným vyjádřením rozsahu (kapacity) služby dle Pověření (v rámci sítě sociálních služeb),</w:t>
      </w:r>
    </w:p>
    <w:p w:rsidR="00F74FCF" w:rsidRPr="00F74FCF" w:rsidRDefault="00F74FCF" w:rsidP="00041862">
      <w:pPr>
        <w:spacing w:before="10"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g)</w:t>
      </w:r>
      <w:r w:rsidR="00041862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personální zajištění služby,</w:t>
      </w:r>
    </w:p>
    <w:p w:rsidR="00F74FCF" w:rsidRPr="00F74FCF" w:rsidRDefault="00F74FCF" w:rsidP="00F74FCF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h)plánované náklady sociální služby (celkové náklady po dobu trvání projektu a náklady za jednotlivé kalendářní roky poskytování sociální služby v rámci projektu v členění dle nákladových položek),</w:t>
      </w:r>
    </w:p>
    <w:p w:rsidR="00F74FCF" w:rsidRPr="00F74FCF" w:rsidRDefault="00F74FCF" w:rsidP="00F74FCF">
      <w:pPr>
        <w:spacing w:before="20" w:after="0" w:line="17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i)plánované výnosy sociální služby (celkové výnosy po dobu trvání projektu a za jednotlivé kalendářní roky poskytování sociální služby v rámci projektu v členění dle jednotlivých zdrojů - výnosů).</w:t>
      </w:r>
    </w:p>
    <w:p w:rsidR="00F74FCF" w:rsidRPr="00F74FCF" w:rsidRDefault="00F74FCF" w:rsidP="00F74FCF">
      <w:pPr>
        <w:spacing w:before="160" w:after="0" w:line="16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Uvedené údaje o sociální službě budou podkladem pro ověření výpočtu vyrovnávací platby na sociální službu uvedenou v žádosti o podporu a pro ověření potřeby stanovení výše finanční podpory služby v rámci projektu.</w:t>
      </w:r>
    </w:p>
    <w:p w:rsidR="00F74FCF" w:rsidRPr="00F74FCF" w:rsidRDefault="00F74FCF" w:rsidP="00F74FCF">
      <w:pPr>
        <w:spacing w:before="30"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Tato příloha bude zpracována </w:t>
      </w:r>
      <w:r w:rsidRPr="00F74FCF">
        <w:rPr>
          <w:rFonts w:eastAsia="Times New Roman" w:cstheme="minorHAnsi"/>
          <w:i/>
          <w:iCs/>
          <w:color w:val="000000"/>
          <w:u w:val="single"/>
          <w:lang w:eastAsia="cs-CZ"/>
        </w:rPr>
        <w:t>vždy samostatně ke každé jednotlivé sociální službě (identifikátoru služby) 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uvedené v žádosti.</w:t>
      </w:r>
    </w:p>
    <w:p w:rsidR="00F74FCF" w:rsidRPr="00F74FCF" w:rsidRDefault="00F74FCF" w:rsidP="00F74FCF">
      <w:pPr>
        <w:spacing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u w:val="single"/>
          <w:lang w:eastAsia="cs-CZ"/>
        </w:rPr>
        <w:t>Údaje o sociální službě 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uvedené v příloze </w:t>
      </w:r>
      <w:r w:rsidRPr="00F74FCF">
        <w:rPr>
          <w:rFonts w:eastAsia="Times New Roman" w:cstheme="minorHAnsi"/>
          <w:i/>
          <w:iCs/>
          <w:color w:val="000000"/>
          <w:u w:val="single"/>
          <w:lang w:eastAsia="cs-CZ"/>
        </w:rPr>
        <w:t>se vztahují k sociální službě v rozsahu jejích základních činností 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(neuvádí se fakultativní činnosti).</w:t>
      </w:r>
    </w:p>
    <w:p w:rsidR="00F74FCF" w:rsidRPr="00F74FCF" w:rsidRDefault="00F74FCF" w:rsidP="00F74FCF">
      <w:pPr>
        <w:spacing w:before="410" w:after="0" w:line="180" w:lineRule="atLeast"/>
        <w:ind w:hanging="570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Další povinné přílohy předkládané pro přípravu právního aktu (rozhodnutí o poskytnutí dotace)</w:t>
      </w:r>
    </w:p>
    <w:p w:rsidR="00F74FCF" w:rsidRPr="00F74FCF" w:rsidRDefault="00F74FCF" w:rsidP="007552C8">
      <w:pPr>
        <w:spacing w:before="60" w:after="0" w:line="170" w:lineRule="atLeast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 xml:space="preserve">V případě zaměření projektu na poskytování sociální služby (v Příloze č. </w:t>
      </w:r>
      <w:r w:rsidR="00041862">
        <w:rPr>
          <w:rFonts w:eastAsia="Times New Roman" w:cstheme="minorHAnsi"/>
          <w:color w:val="000000"/>
          <w:lang w:eastAsia="cs-CZ"/>
        </w:rPr>
        <w:t>2</w:t>
      </w:r>
      <w:r w:rsidRPr="00F74FCF">
        <w:rPr>
          <w:rFonts w:eastAsia="Times New Roman" w:cstheme="minorHAnsi"/>
          <w:color w:val="000000"/>
          <w:lang w:eastAsia="cs-CZ"/>
        </w:rPr>
        <w:t xml:space="preserve"> - Popis podporovaných aktivit) žadatel (poskytov</w:t>
      </w:r>
      <w:r w:rsidR="007552C8">
        <w:rPr>
          <w:rFonts w:eastAsia="Times New Roman" w:cstheme="minorHAnsi"/>
          <w:color w:val="000000"/>
          <w:lang w:eastAsia="cs-CZ"/>
        </w:rPr>
        <w:t xml:space="preserve">atel sociální služby), nad rámec </w:t>
      </w:r>
      <w:r w:rsidRPr="00F74FCF">
        <w:rPr>
          <w:rFonts w:eastAsia="Times New Roman" w:cstheme="minorHAnsi"/>
          <w:color w:val="000000"/>
          <w:lang w:eastAsia="cs-CZ"/>
        </w:rPr>
        <w:t>povinných příloh stanovených v Obecné části pravidel pro žadatele a příjemce v rámci OPZ (kapitola 12.2) předkládá k žádosti o podporu tuto přílohu:</w:t>
      </w:r>
    </w:p>
    <w:p w:rsidR="00F74FCF" w:rsidRPr="00F74FCF" w:rsidRDefault="00F74FCF" w:rsidP="00F74FCF">
      <w:pPr>
        <w:spacing w:before="140" w:after="0" w:line="180" w:lineRule="atLeast"/>
        <w:rPr>
          <w:rFonts w:eastAsia="Times New Roman" w:cstheme="minorHAnsi"/>
          <w:b/>
          <w:bCs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sym w:font="Wingdings" w:char="F0D8"/>
      </w:r>
      <w:r w:rsidRPr="00F74FCF">
        <w:rPr>
          <w:rFonts w:eastAsia="Times New Roman" w:cstheme="minorHAnsi"/>
          <w:color w:val="000000"/>
          <w:lang w:eastAsia="cs-CZ"/>
        </w:rPr>
        <w:t> 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Kopii vydaného Pověření na sociální službu uvedenou v rámci projektu</w:t>
      </w:r>
    </w:p>
    <w:p w:rsidR="00F74FCF" w:rsidRPr="00F74FCF" w:rsidRDefault="00F74FCF" w:rsidP="00F74FCF">
      <w:pPr>
        <w:spacing w:before="690" w:after="0" w:line="180" w:lineRule="atLeast"/>
        <w:ind w:hanging="570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Další povinné přílohy předkládané v průběhu realizace projektu, v návaznosti na zprávy o realizaci projektu</w:t>
      </w:r>
    </w:p>
    <w:p w:rsidR="00F74FCF" w:rsidRPr="00F74FCF" w:rsidRDefault="00F74FCF" w:rsidP="00F74FCF">
      <w:pPr>
        <w:spacing w:before="6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V průběhu realizace projektu předkládá příjemce (poskytovatel sociální služby) nad rámec povinných příloh stanovených v Obecné části pravidel pro žadatele a příjemce v rámci OPZ následující přílohy:</w:t>
      </w:r>
    </w:p>
    <w:p w:rsidR="00F74FCF" w:rsidRPr="00F74FCF" w:rsidRDefault="00F74FCF" w:rsidP="00F74FCF">
      <w:pPr>
        <w:spacing w:before="150" w:after="0" w:line="170" w:lineRule="atLeast"/>
        <w:rPr>
          <w:rFonts w:eastAsia="Times New Roman" w:cstheme="minorHAnsi"/>
          <w:b/>
          <w:bCs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lastRenderedPageBreak/>
        <w:sym w:font="Wingdings" w:char="F0D8"/>
      </w:r>
      <w:r w:rsidRPr="00F74FCF">
        <w:rPr>
          <w:rFonts w:eastAsia="Times New Roman" w:cstheme="minorHAnsi"/>
          <w:color w:val="000000"/>
          <w:lang w:eastAsia="cs-CZ"/>
        </w:rPr>
        <w:t> 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Přehled čerpání vyrovnávací platby na sociální službu (skutečnost)</w:t>
      </w:r>
    </w:p>
    <w:p w:rsidR="00F74FCF" w:rsidRPr="00F74FCF" w:rsidRDefault="00F74FCF" w:rsidP="00F74FCF">
      <w:pPr>
        <w:spacing w:before="10" w:after="0" w:line="170" w:lineRule="atLeast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Příloha se zpracovává samostatně za každou sociální službu podpořenou v rámci projektu a obsahuje údaje:</w:t>
      </w:r>
    </w:p>
    <w:p w:rsidR="00F74FCF" w:rsidRPr="00F74FCF" w:rsidRDefault="00F74FCF" w:rsidP="00041862">
      <w:pPr>
        <w:spacing w:after="0" w:line="17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a)základní identifikační údaje poskytovatele sociální služby - název organizace a identifikační číslo (IČ),</w:t>
      </w:r>
    </w:p>
    <w:p w:rsidR="00041862" w:rsidRDefault="00F74FCF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b)základní identifikační údaje sociální služby - číselné označení sociální služby (identifikátor), druh a forma služby,</w:t>
      </w:r>
    </w:p>
    <w:p w:rsidR="00041862" w:rsidRDefault="00F74FCF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c)počet měsíců poskytování sociální služby,</w:t>
      </w:r>
    </w:p>
    <w:p w:rsidR="00041862" w:rsidRDefault="00F74FCF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d)cílová skupina sociální služby (okruh osob, kterým byla služba poskytována),</w:t>
      </w:r>
    </w:p>
    <w:p w:rsidR="00041862" w:rsidRDefault="00F74FCF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e)skutečný rozsah služby vyjádřený v počtu jednotek,</w:t>
      </w:r>
    </w:p>
    <w:p w:rsidR="00F74FCF" w:rsidRPr="00F74FCF" w:rsidRDefault="00F74FCF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f)personální zajištění služby (skutečnost),</w:t>
      </w:r>
    </w:p>
    <w:p w:rsidR="00F74FCF" w:rsidRPr="00F74FCF" w:rsidRDefault="00F74FCF" w:rsidP="00041862">
      <w:pPr>
        <w:spacing w:after="0" w:line="17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g)plánované náklady sociální služby celkem po dobu podpory služby v rámci projektu,</w:t>
      </w:r>
    </w:p>
    <w:p w:rsidR="00041862" w:rsidRDefault="00F74FCF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h)plánované výnosy sociální služby celkem po dobu podpory služby v rámci projektu,</w:t>
      </w:r>
    </w:p>
    <w:p w:rsidR="00041862" w:rsidRDefault="00F74FCF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i)plánované náklady sociální služby na příslušný kalendářní rok podpory služby</w:t>
      </w:r>
      <w:r w:rsidR="00041862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v</w:t>
      </w:r>
      <w:r w:rsidR="00041862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rámci projektu,</w:t>
      </w:r>
    </w:p>
    <w:p w:rsidR="00F74FCF" w:rsidRDefault="00F74FCF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j)plánované výnosy sociální služby na příslušný kalendářní rok podpory služby</w:t>
      </w:r>
      <w:r w:rsidR="00041862">
        <w:rPr>
          <w:rFonts w:eastAsia="Times New Roman" w:cstheme="minorHAnsi"/>
          <w:i/>
          <w:iCs/>
          <w:color w:val="000000"/>
          <w:lang w:eastAsia="cs-CZ"/>
        </w:rPr>
        <w:t xml:space="preserve"> v rámci projektu</w:t>
      </w:r>
    </w:p>
    <w:p w:rsidR="00041862" w:rsidRDefault="00041862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k) skutečné náklady 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sociální služby na příslušný kalendářní rok podpory služby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v rámci projektu</w:t>
      </w:r>
    </w:p>
    <w:p w:rsidR="00041862" w:rsidRPr="00F74FCF" w:rsidRDefault="00041862" w:rsidP="00041862">
      <w:pPr>
        <w:spacing w:after="0" w:line="16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l) skutečné výnosy 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sociální služby na příslušný kalendářní rok podpory služby</w:t>
      </w:r>
      <w:r>
        <w:rPr>
          <w:rFonts w:eastAsia="Times New Roman" w:cstheme="minorHAnsi"/>
          <w:i/>
          <w:iCs/>
          <w:color w:val="000000"/>
          <w:lang w:eastAsia="cs-CZ"/>
        </w:rPr>
        <w:t xml:space="preserve"> v rámci projektu</w:t>
      </w:r>
    </w:p>
    <w:p w:rsidR="00041862" w:rsidRDefault="00F74FCF" w:rsidP="00041862">
      <w:pPr>
        <w:spacing w:after="0" w:line="17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m)výše skutečně vyplacené vyrovnávací platby za příslušný kalendářní rok podpory služby v rámci projektu,</w:t>
      </w:r>
    </w:p>
    <w:p w:rsidR="00F74FCF" w:rsidRPr="00F74FCF" w:rsidRDefault="00F74FCF" w:rsidP="00041862">
      <w:pPr>
        <w:spacing w:after="0" w:line="170" w:lineRule="atLeast"/>
        <w:ind w:hanging="240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n)vyčíslení částky nadměrné vyrovnávací platby.</w:t>
      </w:r>
    </w:p>
    <w:p w:rsidR="00F74FCF" w:rsidRPr="00F74FCF" w:rsidRDefault="00F74FCF" w:rsidP="00041862">
      <w:pPr>
        <w:spacing w:before="160" w:after="0" w:line="16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Přehled bude zpracován </w:t>
      </w:r>
      <w:r w:rsidRPr="00F74FCF">
        <w:rPr>
          <w:rFonts w:eastAsia="Times New Roman" w:cstheme="minorHAnsi"/>
          <w:i/>
          <w:iCs/>
          <w:color w:val="000000"/>
          <w:u w:val="single"/>
          <w:lang w:eastAsia="cs-CZ"/>
        </w:rPr>
        <w:t>vždy samostatně ke každé jednotlivé sociální službě (identifikátoru služby) 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podpořené v projektu.</w:t>
      </w:r>
    </w:p>
    <w:p w:rsidR="00F74FCF" w:rsidRPr="00F74FCF" w:rsidRDefault="00F74FCF" w:rsidP="00041862">
      <w:pPr>
        <w:spacing w:before="20"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u w:val="single"/>
          <w:lang w:eastAsia="cs-CZ"/>
        </w:rPr>
        <w:t>Údaje o sociální službě 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uvedené v příloze </w:t>
      </w:r>
      <w:r w:rsidRPr="00F74FCF">
        <w:rPr>
          <w:rFonts w:eastAsia="Times New Roman" w:cstheme="minorHAnsi"/>
          <w:i/>
          <w:iCs/>
          <w:color w:val="000000"/>
          <w:u w:val="single"/>
          <w:lang w:eastAsia="cs-CZ"/>
        </w:rPr>
        <w:t>se vztahují k sociální službě v rozsahu jejích základních činností 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(neuvádí se fakultativní činnosti).</w:t>
      </w:r>
    </w:p>
    <w:p w:rsidR="00F74FCF" w:rsidRPr="00F74FCF" w:rsidRDefault="00F74FCF" w:rsidP="00041862">
      <w:pPr>
        <w:spacing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Přehled bude zpracován za příslušný kalendářní rok, ve kterém byla sociální služba formou vyrovnávací platby v rámci projektu podpořena.</w:t>
      </w:r>
    </w:p>
    <w:p w:rsidR="00F74FCF" w:rsidRPr="00F74FCF" w:rsidRDefault="00F74FCF" w:rsidP="00041862">
      <w:pPr>
        <w:spacing w:after="0" w:line="17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 w:rsidRPr="00F74FCF">
        <w:rPr>
          <w:rFonts w:eastAsia="Times New Roman" w:cstheme="minorHAnsi"/>
          <w:i/>
          <w:iCs/>
          <w:color w:val="000000"/>
          <w:lang w:eastAsia="cs-CZ"/>
        </w:rPr>
        <w:t>Přehled bude zpracován dle vzoru uvedeného v příloze k tomuto dokumentu</w:t>
      </w:r>
      <w:r w:rsidRPr="00F74FCF">
        <w:rPr>
          <w:rFonts w:eastAsia="Times New Roman" w:cstheme="minorHAnsi"/>
          <w:b/>
          <w:bCs/>
          <w:i/>
          <w:iCs/>
          <w:color w:val="000000"/>
          <w:lang w:eastAsia="cs-CZ"/>
        </w:rPr>
        <w:t xml:space="preserve">, příloha je označena jako č. </w:t>
      </w:r>
      <w:r w:rsidR="00041862">
        <w:rPr>
          <w:rFonts w:eastAsia="Times New Roman" w:cstheme="minorHAnsi"/>
          <w:b/>
          <w:bCs/>
          <w:i/>
          <w:iCs/>
          <w:color w:val="000000"/>
          <w:lang w:eastAsia="cs-CZ"/>
        </w:rPr>
        <w:t>7</w:t>
      </w:r>
      <w:r w:rsidRPr="00F74FCF">
        <w:rPr>
          <w:rFonts w:eastAsia="Times New Roman" w:cstheme="minorHAnsi"/>
          <w:b/>
          <w:bCs/>
          <w:i/>
          <w:iCs/>
          <w:color w:val="000000"/>
          <w:lang w:eastAsia="cs-CZ"/>
        </w:rPr>
        <w:t>, 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a předložen do 31. 3. následujícího roku</w:t>
      </w:r>
      <w:r w:rsidR="00041862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Pr="00041862">
        <w:rPr>
          <w:rFonts w:eastAsia="Times New Roman" w:cstheme="minorHAnsi"/>
          <w:i/>
          <w:iCs/>
          <w:color w:val="000000"/>
          <w:vertAlign w:val="superscript"/>
          <w:lang w:eastAsia="cs-CZ"/>
        </w:rPr>
        <w:t>4</w:t>
      </w:r>
      <w:r w:rsidRPr="00F74FCF">
        <w:rPr>
          <w:rFonts w:eastAsia="Times New Roman" w:cstheme="minorHAnsi"/>
          <w:i/>
          <w:iCs/>
          <w:color w:val="000000"/>
          <w:lang w:eastAsia="cs-CZ"/>
        </w:rPr>
        <w:t>.</w:t>
      </w:r>
    </w:p>
    <w:p w:rsidR="00F74FCF" w:rsidRPr="00F74FCF" w:rsidRDefault="00F74FCF" w:rsidP="00F74FCF">
      <w:pPr>
        <w:spacing w:before="660"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041862">
        <w:rPr>
          <w:rFonts w:eastAsia="Times New Roman" w:cstheme="minorHAnsi"/>
          <w:i/>
          <w:color w:val="000000"/>
          <w:sz w:val="16"/>
          <w:szCs w:val="16"/>
          <w:lang w:eastAsia="cs-CZ"/>
        </w:rPr>
        <w:t>3Pověření k poskytování sociální služby vydává kraj, popř. obec - viz část 1 bod 5 tohoto dokumentu.</w:t>
      </w:r>
    </w:p>
    <w:p w:rsidR="00F74FCF" w:rsidRPr="00F74FCF" w:rsidRDefault="00F74FCF" w:rsidP="00F74FCF">
      <w:pPr>
        <w:spacing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041862">
        <w:rPr>
          <w:rFonts w:eastAsia="Times New Roman" w:cstheme="minorHAnsi"/>
          <w:i/>
          <w:color w:val="000000"/>
          <w:sz w:val="16"/>
          <w:szCs w:val="16"/>
          <w:lang w:eastAsia="cs-CZ"/>
        </w:rPr>
        <w:t>4Samostatně nebo jako součást zprávy o realizaci projektu.</w:t>
      </w:r>
    </w:p>
    <w:p w:rsidR="00041862" w:rsidRDefault="00041862" w:rsidP="00F74FCF">
      <w:pPr>
        <w:spacing w:after="0" w:line="180" w:lineRule="atLeast"/>
        <w:rPr>
          <w:rFonts w:eastAsia="Times New Roman" w:cstheme="minorHAnsi"/>
          <w:b/>
          <w:bCs/>
          <w:i/>
          <w:color w:val="000000"/>
          <w:sz w:val="16"/>
          <w:szCs w:val="16"/>
          <w:lang w:eastAsia="cs-CZ"/>
        </w:rPr>
      </w:pPr>
    </w:p>
    <w:p w:rsidR="00041862" w:rsidRDefault="00041862" w:rsidP="00F74FCF">
      <w:pPr>
        <w:spacing w:after="0" w:line="180" w:lineRule="atLeast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</w:p>
    <w:p w:rsidR="00F74FCF" w:rsidRPr="00F74FCF" w:rsidRDefault="00F74FCF" w:rsidP="00F74FCF">
      <w:pPr>
        <w:spacing w:after="0" w:line="180" w:lineRule="atLeast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Stanovení výše vyrovnávací platby poskytovatelům sociálních služeb</w:t>
      </w:r>
    </w:p>
    <w:p w:rsidR="00F74FCF" w:rsidRPr="00F74FCF" w:rsidRDefault="00F74FCF" w:rsidP="00F74FCF">
      <w:pPr>
        <w:spacing w:before="80" w:after="0" w:line="170" w:lineRule="atLeast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(1) Výše vyrovnávací platby na poskytování sociální služby bude stanovena v souladu s článkem 5 Rozhodnutí č. 2012/21/EU. Výše vyrovnávací platby nepřesáhne rozsah nezbytný k pokrytí čistých nákladů vynaložených při plnění závazků veřejné služby. Do výše vyrovnávací platby poskytnuté příjemci v rámci této výzvy není možné zahrnout přiměřený zisk.</w:t>
      </w:r>
    </w:p>
    <w:p w:rsidR="00F74FCF" w:rsidRPr="00F74FCF" w:rsidRDefault="00F74FCF" w:rsidP="00F74FCF">
      <w:pPr>
        <w:spacing w:before="70" w:after="0" w:line="180" w:lineRule="atLeast"/>
        <w:rPr>
          <w:rFonts w:eastAsia="Times New Roman" w:cstheme="minorHAnsi"/>
          <w:b/>
          <w:bCs/>
          <w:color w:val="000000"/>
          <w:lang w:eastAsia="cs-CZ"/>
        </w:rPr>
      </w:pPr>
      <w:r w:rsidRPr="00F74FCF">
        <w:rPr>
          <w:rFonts w:eastAsia="Times New Roman" w:cstheme="minorHAnsi"/>
          <w:b/>
          <w:bCs/>
          <w:color w:val="000000"/>
          <w:lang w:eastAsia="cs-CZ"/>
        </w:rPr>
        <w:t>Výše vyrovnávací platby se vypočítává podle vzorce</w:t>
      </w:r>
      <w:r w:rsidRPr="00F74FCF">
        <w:rPr>
          <w:rFonts w:eastAsia="Times New Roman" w:cstheme="minorHAnsi"/>
          <w:color w:val="000000"/>
          <w:lang w:eastAsia="cs-CZ"/>
        </w:rPr>
        <w:t>:</w:t>
      </w:r>
    </w:p>
    <w:p w:rsidR="00F74FCF" w:rsidRPr="00F74FCF" w:rsidRDefault="00F74FCF" w:rsidP="00F74FCF">
      <w:pPr>
        <w:spacing w:before="90" w:after="0" w:line="170" w:lineRule="atLeast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Vyrovnávací platba = náklady sociální služby mínus výnosy sociální služby.</w:t>
      </w:r>
    </w:p>
    <w:p w:rsidR="00F74FCF" w:rsidRPr="00F74FCF" w:rsidRDefault="00F74FCF" w:rsidP="00F74FCF">
      <w:pPr>
        <w:spacing w:before="100" w:after="0" w:line="170" w:lineRule="atLeast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(2) 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Náklady, k nimž se přihlíží, </w:t>
      </w:r>
      <w:r w:rsidRPr="00F74FCF">
        <w:rPr>
          <w:rFonts w:eastAsia="Times New Roman" w:cstheme="minorHAnsi"/>
          <w:color w:val="000000"/>
          <w:lang w:eastAsia="cs-CZ"/>
        </w:rPr>
        <w:t>zahrnují veškeré náklady vzniklé při poskytování sociální služby, pokud tyto náklady souvisejí s poskytováním sociální služby v rozsahu jejích základních činností uvedených pro daný druh a formu sociální služby v zákoně o sociálních službách. Vypočítají se na základě obecně přijatých zásad analytického účetnictví takto:</w:t>
      </w:r>
    </w:p>
    <w:p w:rsidR="00F74FCF" w:rsidRPr="00F74FCF" w:rsidRDefault="00F74FCF" w:rsidP="00F74FCF">
      <w:pPr>
        <w:spacing w:before="6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a)vykonává-li poskytovatel sociální služby pouze činnosti v rozsahu sociální služby, lze zohlednit jeho veškeré náklady,</w:t>
      </w:r>
    </w:p>
    <w:p w:rsidR="00F74FCF" w:rsidRPr="00F74FCF" w:rsidRDefault="00F74FCF" w:rsidP="00F74FCF">
      <w:p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b)vykonává-li poskytovatel sociální služby rovněž činnosti mimo rozsah příslušné sociální služby, lze zohlednit pouze náklady vztahující se k poskytování sociální služby,</w:t>
      </w:r>
    </w:p>
    <w:p w:rsidR="00F74FCF" w:rsidRPr="00F74FCF" w:rsidRDefault="00F74FCF" w:rsidP="00F74FCF">
      <w:pPr>
        <w:spacing w:before="7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lastRenderedPageBreak/>
        <w:t>c)náklady připisované sociální službě mohou zahrnovat veškeré přímé náklady vynaložené při poskytování služby a odpovídající podíl nákladů společných sociální službě a jiným činnostem poskytovatele sociální služby,</w:t>
      </w:r>
    </w:p>
    <w:p w:rsidR="00F74FCF" w:rsidRPr="00F74FCF" w:rsidRDefault="00F74FCF" w:rsidP="007552C8">
      <w:p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d)náklady (odpisy) spojené s investicemi mohou být zohledněny, pokud jsou nezbytné pro poskytování sociální služby. Přičemž v rámci výzvy není možné do vyrovnávací</w:t>
      </w:r>
      <w:r w:rsidR="007552C8">
        <w:rPr>
          <w:rFonts w:eastAsia="Times New Roman" w:cstheme="minorHAnsi"/>
          <w:color w:val="000000"/>
          <w:lang w:eastAsia="cs-CZ"/>
        </w:rPr>
        <w:t xml:space="preserve"> </w:t>
      </w:r>
      <w:r w:rsidRPr="00F74FCF">
        <w:rPr>
          <w:rFonts w:eastAsia="Times New Roman" w:cstheme="minorHAnsi"/>
          <w:color w:val="000000"/>
          <w:lang w:eastAsia="cs-CZ"/>
        </w:rPr>
        <w:t>platby zahrnout náklady na pořízení investice (pořízení nebo technické zhodnocení dlouhodobého hmotného či nehmotného majetku</w:t>
      </w:r>
      <w:r w:rsidRPr="007552C8">
        <w:rPr>
          <w:rFonts w:eastAsia="Times New Roman" w:cstheme="minorHAnsi"/>
          <w:color w:val="000000"/>
          <w:vertAlign w:val="superscript"/>
          <w:lang w:eastAsia="cs-CZ"/>
        </w:rPr>
        <w:t>5</w:t>
      </w:r>
      <w:r w:rsidRPr="00F74FCF">
        <w:rPr>
          <w:rFonts w:eastAsia="Times New Roman" w:cstheme="minorHAnsi"/>
          <w:color w:val="000000"/>
          <w:lang w:eastAsia="cs-CZ"/>
        </w:rPr>
        <w:t>).</w:t>
      </w:r>
    </w:p>
    <w:p w:rsidR="00F74FCF" w:rsidRDefault="00F74FCF" w:rsidP="00F74FCF">
      <w:pPr>
        <w:spacing w:before="7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(3)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Výnosy, k nimž se přihlíží</w:t>
      </w:r>
      <w:r w:rsidRPr="00F74FCF">
        <w:rPr>
          <w:rFonts w:eastAsia="Times New Roman" w:cstheme="minorHAnsi"/>
          <w:color w:val="000000"/>
          <w:lang w:eastAsia="cs-CZ"/>
        </w:rPr>
        <w:t>, zahrnují veškeré výnosy z poskytování sociální služby (úhrady od uživatelů sociálních služeb, samotné dotace MPSV, kraje, obcí a jiné veřejné zdroje, dotace v rámci projektů OPZ a jiných evropských fondů, příjmy z veřejných zakázek, popř. jiné příjmy nad rámec obvyklých výnosů).</w:t>
      </w:r>
    </w:p>
    <w:p w:rsidR="00041862" w:rsidRDefault="007D7D93" w:rsidP="00F74FCF">
      <w:pPr>
        <w:spacing w:before="7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(4) Objednatel sociální služby v Pověření stanoví předem, transparentně a na nediskriminačním základě, které náklady považuje za náklady nezbytné k plnění závazku služby obecného hospodářského zájmu (k poskytování sociální služby). Mezi tyto náklady lze zařadit i náklady na celoživotní vzdělávání pracovníků poskytovatele sociální služby</w:t>
      </w:r>
      <w:r w:rsidRPr="007D7D93">
        <w:rPr>
          <w:rFonts w:eastAsia="Times New Roman" w:cstheme="minorHAnsi"/>
          <w:color w:val="000000"/>
          <w:vertAlign w:val="superscript"/>
          <w:lang w:eastAsia="cs-CZ"/>
        </w:rPr>
        <w:t>6</w:t>
      </w:r>
      <w:r>
        <w:rPr>
          <w:rFonts w:eastAsia="Times New Roman" w:cstheme="minorHAnsi"/>
          <w:color w:val="000000"/>
          <w:lang w:eastAsia="cs-CZ"/>
        </w:rPr>
        <w:t>.</w:t>
      </w:r>
    </w:p>
    <w:p w:rsidR="00F74FCF" w:rsidRPr="00F74FCF" w:rsidRDefault="007D7D93" w:rsidP="007D7D93">
      <w:pPr>
        <w:spacing w:before="7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(5) Vyrovnávací platba na sociální službu v rámci projektu bude stanovena v souladu s vydaným Pověřením, které vydá objednatel sociální služby (viz část 1 bod 5 tohoto dokumentu). Žadateli (poskytovateli sociální služby) se doporučuje toto Pověření </w:t>
      </w:r>
      <w:r w:rsidR="00F74FCF" w:rsidRPr="00F74FCF">
        <w:rPr>
          <w:rFonts w:eastAsia="Times New Roman" w:cstheme="minorHAnsi"/>
          <w:color w:val="000000"/>
          <w:lang w:eastAsia="cs-CZ"/>
        </w:rPr>
        <w:t>předložit již při podání žádosti o podporu. Povinně toto Pověření předloží ten žadatel, jehož žádost projde úspěšně výběrovým procesem, a to nejpozději před vydáním rozhodnutí o poskytnutí dotace na projekt.</w:t>
      </w:r>
    </w:p>
    <w:p w:rsidR="00F74FCF" w:rsidRPr="00F74FCF" w:rsidRDefault="00F74FCF" w:rsidP="00F74FCF">
      <w:pPr>
        <w:spacing w:before="70" w:after="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(6)Vyrovnávací platba bude stanovena jako celková výše prostředků z veřejných rozpočtů (včetně prostředků z ESF) k zajištění dostupnosti poskytování sociální služby (dokrytí svých provozních potřeb) vedle příjmů plynoucích z realizace sociální služby vymezené v rozsahu Pověření.</w:t>
      </w:r>
    </w:p>
    <w:p w:rsidR="00F74FCF" w:rsidRPr="00F74FCF" w:rsidRDefault="00F74FCF" w:rsidP="00F74FCF">
      <w:p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(7)Vyrovnávací platba za službu se stanoví jako rozdíl očekávaných (skutečných) nákladů a</w:t>
      </w:r>
    </w:p>
    <w:p w:rsidR="00F74FCF" w:rsidRPr="00F74FCF" w:rsidRDefault="00F74FCF" w:rsidP="00F74FCF">
      <w:pPr>
        <w:spacing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očekávaných (skutečných) výnosů z vlastní činnosti poskytovatele sociální služby (tj. úhrady za poskytování sociálních služeb od uživatelů, případně další příjmy spojené s poskytováním sociálních služeb mimo veřejné rozpočty a prostředky ESF).</w:t>
      </w:r>
    </w:p>
    <w:p w:rsidR="00F74FCF" w:rsidRPr="00F74FCF" w:rsidRDefault="00F74FCF" w:rsidP="00F74FCF">
      <w:pPr>
        <w:spacing w:before="70" w:after="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a)Pokud je sociální služba spojena s úhradami od jejích uživatelů, stanoví se jako očekávané (obvyklé) výnosy pro účely výpočtu vyrovnávací platby očekávané (obvyklé) příjmy z úhrad od uživatelů sociálních služeb za podmínek stanovených v § 71 až § 76 zákona o sociálních službách, a ve vyhlášce č. 505/2006 Sb., kterou se provádějí některá ustanovení zákona o sociálních službách.</w:t>
      </w:r>
    </w:p>
    <w:p w:rsidR="007D7D93" w:rsidRDefault="00F74FCF" w:rsidP="007D7D93">
      <w:pPr>
        <w:spacing w:before="80" w:after="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b)V rámci stanovení vyrovnávací platby a jejího vyhodnocování lze zohlednit, pokud skutečné příjmy sociální služby neodpovídají očekávaným (obvyklým) výnosům. Jde zpravidla o tzv. objektivně nižší příjmy, které nebylo možno vybrat, s ohledem na:</w:t>
      </w:r>
    </w:p>
    <w:p w:rsidR="007D7D93" w:rsidRDefault="00F74FCF" w:rsidP="007D7D93">
      <w:pPr>
        <w:pStyle w:val="Odstavecseseznamem"/>
        <w:numPr>
          <w:ilvl w:val="0"/>
          <w:numId w:val="2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příslušná ustanovení zákona č. 108/2006 Sb., o sociálních službách, týkající se ustanovení ve věci úhrad nákladů za sociální služby,</w:t>
      </w:r>
    </w:p>
    <w:p w:rsidR="00F74FCF" w:rsidRPr="007D7D93" w:rsidRDefault="00F74FCF" w:rsidP="007D7D93">
      <w:pPr>
        <w:pStyle w:val="Odstavecseseznamem"/>
        <w:numPr>
          <w:ilvl w:val="0"/>
          <w:numId w:val="2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příjmovou situaci uživatele služby (opatření při stanovení úhrad v souladu se zajištěním cenové dostupnosti služby a motivace uživatelů k aktivitám vedoucím k sociálnímu začleňování).</w:t>
      </w:r>
    </w:p>
    <w:p w:rsidR="00F74FCF" w:rsidRPr="00F74FCF" w:rsidRDefault="00F74FCF" w:rsidP="00F74FCF">
      <w:pPr>
        <w:spacing w:before="70" w:after="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c)Vyrovnávací platba se stanoví s ohledem na rozsah sociální služby, vymezený v síti sociálních služeb.</w:t>
      </w:r>
    </w:p>
    <w:p w:rsidR="00F74FCF" w:rsidRPr="00F74FCF" w:rsidRDefault="00F74FCF" w:rsidP="00F74FCF">
      <w:pPr>
        <w:spacing w:before="80" w:after="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d)Samotné dotace MPSV, kraje, obcí a jiné veřejné zdroje, dotace v rámci projektů OPZ, příjmy z veřejných zakázek, popř. jiné příjmy nad rámec obvyklých výnosů, jsou součástí krytí vyrovnávací platby a v rámci stanovení vyrovnávací platby se započítávají do jejího celkového objemu.</w:t>
      </w:r>
    </w:p>
    <w:p w:rsidR="007D7D93" w:rsidRPr="00F74FCF" w:rsidRDefault="007D7D93" w:rsidP="007D7D93">
      <w:pPr>
        <w:spacing w:before="140"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5Dlouhodobým hmotným majetkem se rozumí majetek, jehož doba použitelnosti je delší než jeden rok a vstupní cena vyšší než </w:t>
      </w:r>
      <w:r w:rsidRPr="00F74FCF">
        <w:rPr>
          <w:rFonts w:eastAsia="Times New Roman" w:cstheme="minorHAnsi"/>
          <w:i/>
          <w:color w:val="000000"/>
          <w:sz w:val="16"/>
          <w:szCs w:val="16"/>
          <w:lang w:eastAsia="cs-CZ"/>
        </w:rPr>
        <w:t>40.000,-Kč;</w:t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 </w:t>
      </w:r>
      <w:r w:rsidRPr="00F74FCF">
        <w:rPr>
          <w:rFonts w:eastAsia="Times New Roman" w:cstheme="minorHAnsi"/>
          <w:i/>
          <w:color w:val="000000"/>
          <w:sz w:val="16"/>
          <w:szCs w:val="16"/>
          <w:lang w:eastAsia="cs-CZ"/>
        </w:rPr>
        <w:t>dlouhodobým nehmotným majetkem se rozumí majetek, jehož doba použitelnosti je delší než jeden rok a vstupní cena vyšší než</w:t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 </w:t>
      </w:r>
      <w:r w:rsidRPr="00F74FCF">
        <w:rPr>
          <w:rFonts w:eastAsia="Times New Roman" w:cstheme="minorHAnsi"/>
          <w:i/>
          <w:color w:val="000000"/>
          <w:sz w:val="16"/>
          <w:szCs w:val="16"/>
          <w:lang w:eastAsia="cs-CZ"/>
        </w:rPr>
        <w:t>60.000,-Kč.</w:t>
      </w:r>
    </w:p>
    <w:p w:rsidR="007D7D93" w:rsidRPr="00F74FCF" w:rsidRDefault="007D7D93" w:rsidP="007D7D93">
      <w:pPr>
        <w:spacing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6V rámci výzvy lze prostřednictvím vyrovnávací platby hradit i náklady na </w:t>
      </w:r>
      <w:r w:rsidRPr="007D7D93">
        <w:rPr>
          <w:rFonts w:eastAsia="Times New Roman" w:cstheme="minorHAnsi"/>
          <w:b/>
          <w:bCs/>
          <w:i/>
          <w:color w:val="000000"/>
          <w:sz w:val="16"/>
          <w:szCs w:val="16"/>
          <w:lang w:eastAsia="cs-CZ"/>
        </w:rPr>
        <w:t>celoživotní vzdělávání pracovníků poskytovatele sociální služby, </w:t>
      </w:r>
      <w:r w:rsidRPr="00F74FCF">
        <w:rPr>
          <w:rFonts w:eastAsia="Times New Roman" w:cstheme="minorHAnsi"/>
          <w:i/>
          <w:color w:val="000000"/>
          <w:sz w:val="16"/>
          <w:szCs w:val="16"/>
          <w:lang w:eastAsia="cs-CZ"/>
        </w:rPr>
        <w:t>a to za podmínky, že toto vzdělávání přímo souvisí s poskytováním základních činností sociální služby a současně je oblast vzdělávání pracovníků poskytovatele služby upravena v rámci vydaného Pověření v souladu s Rozhodnutím č. 2012/21/EU. Pro účely podpory sociálních služeb v rámci této výzvy se celoživotním vzděláváním pracovníků poskytovatele sociální služby rozumí:</w:t>
      </w:r>
    </w:p>
    <w:p w:rsidR="007D7D93" w:rsidRPr="00F74FCF" w:rsidRDefault="007D7D93" w:rsidP="007D7D93">
      <w:pPr>
        <w:spacing w:before="10" w:after="0" w:line="150" w:lineRule="atLeast"/>
        <w:ind w:hanging="280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sym w:font="Wingdings" w:char="F0D8"/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vzdělávání sociálních pracovníků v souladu s § 111 odst. 1 zákona o sociálních službách, a to maximálně v rozsahu 24 hodin za kalendářní rok,</w:t>
      </w:r>
    </w:p>
    <w:p w:rsidR="007D7D93" w:rsidRPr="00F74FCF" w:rsidRDefault="007D7D93" w:rsidP="007D7D93">
      <w:pPr>
        <w:spacing w:before="10" w:after="0" w:line="150" w:lineRule="atLeast"/>
        <w:ind w:hanging="280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lastRenderedPageBreak/>
        <w:sym w:font="Wingdings" w:char="F0D8"/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vzdělávání pracovníků v sociálních službách v souladu s § 116 odst. 9 zákona o sociálních službách, a to maximálně v rozsahu 24 hodin za kalendářní rok,</w:t>
      </w:r>
    </w:p>
    <w:p w:rsidR="007D7D93" w:rsidRPr="00F74FCF" w:rsidRDefault="007D7D93" w:rsidP="007D7D93">
      <w:pPr>
        <w:spacing w:before="20" w:after="0" w:line="150" w:lineRule="atLeast"/>
        <w:jc w:val="both"/>
        <w:rPr>
          <w:rFonts w:eastAsia="Times New Roman" w:cstheme="minorHAnsi"/>
          <w:i/>
          <w:color w:val="000000"/>
          <w:sz w:val="16"/>
          <w:szCs w:val="16"/>
          <w:lang w:eastAsia="cs-CZ"/>
        </w:rPr>
      </w:pP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sym w:font="Wingdings" w:char="F0D8"/>
      </w:r>
      <w:r w:rsidRPr="007D7D93">
        <w:rPr>
          <w:rFonts w:eastAsia="Times New Roman" w:cstheme="minorHAnsi"/>
          <w:i/>
          <w:color w:val="000000"/>
          <w:sz w:val="16"/>
          <w:szCs w:val="16"/>
          <w:lang w:eastAsia="cs-CZ"/>
        </w:rPr>
        <w:t>vzdělávání vedoucích pracovníků, a to maximálně v rozsahu 24 hodin za kalendářní rok.</w:t>
      </w:r>
    </w:p>
    <w:p w:rsidR="007D7D93" w:rsidRDefault="007D7D93" w:rsidP="00F74FCF">
      <w:pPr>
        <w:spacing w:before="370" w:after="0" w:line="180" w:lineRule="atLeast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</w:p>
    <w:p w:rsidR="00F74FCF" w:rsidRPr="00F74FCF" w:rsidRDefault="00F74FCF" w:rsidP="00F74FCF">
      <w:pPr>
        <w:spacing w:before="370" w:after="0" w:line="180" w:lineRule="atLeast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Podmínky pro poskytnutí vyrovnávací platby</w:t>
      </w:r>
    </w:p>
    <w:p w:rsidR="00F74FCF" w:rsidRPr="00F74FCF" w:rsidRDefault="00F74FCF" w:rsidP="00F74FCF">
      <w:pPr>
        <w:spacing w:before="70" w:after="0" w:line="170" w:lineRule="atLeast"/>
        <w:ind w:hanging="24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(1)Poskytovatel sociální služby, který obdrží vyrovnávací platbu na sociální službu v rámci projektu OPZ je povinen: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a)Využít vyrovnávací platbu v souladu s pravidly účelnosti, hospodárnosti a efektivnosti při vynakládání veřejných prostředků a ke stanovenému účelu.</w:t>
      </w:r>
    </w:p>
    <w:p w:rsidR="007D7D93" w:rsidRPr="007D7D93" w:rsidRDefault="00F74FCF" w:rsidP="007D7D93">
      <w:pPr>
        <w:pStyle w:val="Odstavecseseznamem"/>
        <w:numPr>
          <w:ilvl w:val="0"/>
          <w:numId w:val="3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b)Využít vyrovnávací platbu pouze na základní činnosti sociální služby, tj. v souladu s účelem schváleného projektu, který je stanoven v rámci rozhodnutí o poskytnutí dotace.</w:t>
      </w:r>
    </w:p>
    <w:p w:rsidR="00F74FCF" w:rsidRPr="007D7D93" w:rsidRDefault="007D7D93" w:rsidP="007D7D93">
      <w:pPr>
        <w:pStyle w:val="Odstavecseseznamem"/>
        <w:numPr>
          <w:ilvl w:val="0"/>
          <w:numId w:val="3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 xml:space="preserve">c) </w:t>
      </w:r>
      <w:r w:rsidR="00F74FCF" w:rsidRPr="007D7D93">
        <w:rPr>
          <w:rFonts w:eastAsia="Times New Roman" w:cstheme="minorHAnsi"/>
          <w:color w:val="000000"/>
          <w:lang w:eastAsia="cs-CZ"/>
        </w:rPr>
        <w:t>Zajistit rozsah (kapacitu) poskytované služby v souladu s vydaným Pověřením</w:t>
      </w:r>
      <w:r w:rsidRPr="007D7D93">
        <w:rPr>
          <w:rFonts w:eastAsia="Times New Roman" w:cstheme="minorHAnsi"/>
          <w:color w:val="000000"/>
          <w:lang w:eastAsia="cs-CZ"/>
        </w:rPr>
        <w:t xml:space="preserve"> </w:t>
      </w:r>
      <w:r w:rsidR="00F74FCF" w:rsidRPr="007D7D93">
        <w:rPr>
          <w:rFonts w:eastAsia="Times New Roman" w:cstheme="minorHAnsi"/>
          <w:color w:val="000000"/>
          <w:lang w:eastAsia="cs-CZ"/>
        </w:rPr>
        <w:t>a</w:t>
      </w:r>
      <w:r w:rsidRPr="007D7D93">
        <w:rPr>
          <w:rFonts w:eastAsia="Times New Roman" w:cstheme="minorHAnsi"/>
          <w:color w:val="000000"/>
          <w:lang w:eastAsia="cs-CZ"/>
        </w:rPr>
        <w:t xml:space="preserve"> </w:t>
      </w:r>
      <w:r w:rsidR="00F74FCF" w:rsidRPr="007D7D93">
        <w:rPr>
          <w:rFonts w:eastAsia="Times New Roman" w:cstheme="minorHAnsi"/>
          <w:color w:val="000000"/>
          <w:lang w:eastAsia="cs-CZ"/>
        </w:rPr>
        <w:t>podmínkami projektu.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30" w:after="0" w:line="16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d)Vést své příjmy a výdaje (výnosy a náklady) transparentně s jednoznačnou vazbou ke konkrétní sociální službě v projektu - identifikátoru služby (zejména účetní střediska, zakázky). </w:t>
      </w:r>
      <w:r w:rsidRPr="007D7D93">
        <w:rPr>
          <w:rFonts w:eastAsia="Times New Roman" w:cstheme="minorHAnsi"/>
          <w:b/>
          <w:bCs/>
          <w:color w:val="000000"/>
          <w:lang w:eastAsia="cs-CZ"/>
        </w:rPr>
        <w:t>Příjemce vyrovnávací platby </w:t>
      </w:r>
      <w:r w:rsidRPr="007D7D93">
        <w:rPr>
          <w:rFonts w:eastAsia="Times New Roman" w:cstheme="minorHAnsi"/>
          <w:color w:val="000000"/>
          <w:lang w:eastAsia="cs-CZ"/>
        </w:rPr>
        <w:t>(tj. poskytovatel sociální služby) </w:t>
      </w:r>
      <w:r w:rsidRPr="007D7D93">
        <w:rPr>
          <w:rFonts w:eastAsia="Times New Roman" w:cstheme="minorHAnsi"/>
          <w:b/>
          <w:bCs/>
          <w:color w:val="000000"/>
          <w:lang w:eastAsia="cs-CZ"/>
        </w:rPr>
        <w:t>má povinnost vést příjmy a výdaje (výnosy a náklady) spojené s poskytováním příslušné služby v účetnictví příjemce vyrovnávací platby (poskytovatele sociální služby) odděleně od příjmů a výdajů (výnosů</w:t>
      </w:r>
      <w:r w:rsidR="007D7D93" w:rsidRPr="007D7D93">
        <w:rPr>
          <w:rFonts w:eastAsia="Times New Roman" w:cstheme="minorHAnsi"/>
          <w:color w:val="000000"/>
          <w:lang w:eastAsia="cs-CZ"/>
        </w:rPr>
        <w:t xml:space="preserve"> </w:t>
      </w:r>
      <w:r w:rsidRPr="007D7D93">
        <w:rPr>
          <w:rFonts w:eastAsia="Times New Roman" w:cstheme="minorHAnsi"/>
          <w:b/>
          <w:bCs/>
          <w:color w:val="000000"/>
          <w:lang w:eastAsia="cs-CZ"/>
        </w:rPr>
        <w:t>a</w:t>
      </w:r>
      <w:r w:rsidR="007D7D93" w:rsidRPr="007D7D93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7D7D93">
        <w:rPr>
          <w:rFonts w:eastAsia="Times New Roman" w:cstheme="minorHAnsi"/>
          <w:b/>
          <w:bCs/>
          <w:color w:val="000000"/>
          <w:lang w:eastAsia="cs-CZ"/>
        </w:rPr>
        <w:t>nákladů) spojených s jinými službami či činnostmi organizace</w:t>
      </w:r>
      <w:r w:rsidRPr="007D7D93">
        <w:rPr>
          <w:rFonts w:eastAsia="Times New Roman" w:cstheme="minorHAnsi"/>
          <w:color w:val="000000"/>
          <w:lang w:eastAsia="cs-CZ"/>
        </w:rPr>
        <w:t>. Povinnost</w:t>
      </w:r>
      <w:r w:rsidR="007D7D93" w:rsidRPr="007D7D93">
        <w:rPr>
          <w:rFonts w:eastAsia="Times New Roman" w:cstheme="minorHAnsi"/>
          <w:color w:val="000000"/>
          <w:lang w:eastAsia="cs-CZ"/>
        </w:rPr>
        <w:t xml:space="preserve"> </w:t>
      </w:r>
      <w:r w:rsidRPr="007D7D93">
        <w:rPr>
          <w:rFonts w:eastAsia="Times New Roman" w:cstheme="minorHAnsi"/>
          <w:color w:val="000000"/>
          <w:lang w:eastAsia="cs-CZ"/>
        </w:rPr>
        <w:t>odděleného účtování se vztahuje na veškeré položky související se sociální službou v projektu a nikoli pouze na položky související s poskytnutou vyrovnávací platbou na příslušnou sociální službu.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7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e)Neprodleně hlásit veškeré příjmy, které obdržel mimo původní kalkulaci (stanovení) vyrovnávací platby, resp. veškeré odchylky od očekávaných příjmů/výdajů (výnosů/nákladů).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f)Nemít závazky po lhůtě splatnosti ve vztahu ke státnímu rozpočtu, ke státnímu fondu, zdravotním pojišťovnám, České správě sociálního zabezpečení nebo rozpočtu územního samosprávného celku.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7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g)Řádně uchovávat veškeré dokumenty související s financováním sociální služby formou vyrovnávací platby na základě Rozhodnutí č. 2012/21/EU a prokazující čerpání všech finančních prostředků na realizaci sociální služby po dobu trvání Pověření a alespoň 10 let od konce doby Pověření způsobem, který je v souladu s platnými právními předpisy České republiky.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h)Hlásit změny v poskytování sociální služby a v rozpočtu sociální služby a čerpání vyrovnávací platby.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i)Předložit další dokumenty a informace v případě žádosti MPSV jako poskytovatele dotace na projekt.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7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j)Poskytnout součinnost při výkonu kontrolní činnosti ze strany poskytovatele dotace a dalších subjektů oprávněných ke kontrole v rámci projektu.</w:t>
      </w:r>
    </w:p>
    <w:p w:rsidR="00F74FCF" w:rsidRPr="007D7D93" w:rsidRDefault="00F74FCF" w:rsidP="007D7D93">
      <w:pPr>
        <w:pStyle w:val="Odstavecseseznamem"/>
        <w:numPr>
          <w:ilvl w:val="0"/>
          <w:numId w:val="3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k)Za příslušný kalendářních rok předložit údaje vážící se k čerpání poskytnuté vyrovnávací platby v rámci projektu a odvést případnou vratku na účet poskytovatele vyrovnávací platby, dle podmínek stanovených poskytovatelem vyrovnávací platby.</w:t>
      </w:r>
    </w:p>
    <w:p w:rsidR="00F74FCF" w:rsidRPr="00F74FCF" w:rsidRDefault="00F74FCF" w:rsidP="00F74FCF">
      <w:pPr>
        <w:spacing w:before="70" w:after="0" w:line="180" w:lineRule="atLeast"/>
        <w:ind w:hanging="240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(2)</w:t>
      </w:r>
      <w:r w:rsidRPr="00F74FCF">
        <w:rPr>
          <w:rFonts w:eastAsia="Times New Roman" w:cstheme="minorHAnsi"/>
          <w:b/>
          <w:bCs/>
          <w:color w:val="000000"/>
          <w:lang w:eastAsia="cs-CZ"/>
        </w:rPr>
        <w:t>Dokumenty vážící se k plnění povinností uvedených v předchozím odstavci pod písmeny e), h) a k) předkládá poskytovatel sociální služby (příjemce/realizátor projektu) MPSV</w:t>
      </w:r>
      <w:r w:rsidRPr="00F74FCF">
        <w:rPr>
          <w:rFonts w:eastAsia="Times New Roman" w:cstheme="minorHAnsi"/>
          <w:color w:val="000000"/>
          <w:lang w:eastAsia="cs-CZ"/>
        </w:rPr>
        <w:t>.</w:t>
      </w:r>
    </w:p>
    <w:p w:rsidR="00F74FCF" w:rsidRPr="007D7D93" w:rsidRDefault="00F74FCF" w:rsidP="007D7D93">
      <w:pPr>
        <w:pStyle w:val="Odstavecseseznamem"/>
        <w:numPr>
          <w:ilvl w:val="0"/>
          <w:numId w:val="4"/>
        </w:numPr>
        <w:spacing w:before="5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a)Údaje pod písmenem e) a h) poskytovatel sociální služby uvádí v rámci předkládaných zpráv o realizaci projektu.</w:t>
      </w:r>
    </w:p>
    <w:p w:rsidR="00F74FCF" w:rsidRPr="007D7D93" w:rsidRDefault="00F74FCF" w:rsidP="007D7D93">
      <w:pPr>
        <w:pStyle w:val="Odstavecseseznamem"/>
        <w:numPr>
          <w:ilvl w:val="0"/>
          <w:numId w:val="4"/>
        </w:numPr>
        <w:spacing w:before="80" w:after="0" w:line="170" w:lineRule="atLeast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b) Údaje pod písmenem k) poskytovatel sociální služby předkládá vždy v termínu do 31. 3. a v rozsahu dle části 4.</w:t>
      </w:r>
    </w:p>
    <w:p w:rsidR="00F74FCF" w:rsidRPr="00F74FCF" w:rsidRDefault="00F74FCF" w:rsidP="00F74FCF">
      <w:pPr>
        <w:spacing w:before="80" w:after="0" w:line="170" w:lineRule="atLeast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 xml:space="preserve">(3) Poskytovatel vyrovnávací platby je povinen provádět pravidelné kontroly ve smyslu článku 6 odstavce 1 Rozhodnutí č. 2012/21/EU. Tyto kontroly provádí v souladu s platnou legislativou, zejména se </w:t>
      </w:r>
      <w:r w:rsidRPr="00F74FCF">
        <w:rPr>
          <w:rFonts w:eastAsia="Times New Roman" w:cstheme="minorHAnsi"/>
          <w:color w:val="000000"/>
          <w:lang w:eastAsia="cs-CZ"/>
        </w:rPr>
        <w:lastRenderedPageBreak/>
        <w:t>zákonem č. 320/2001 Sb., o finanční kontrole ve veřejné správě a o změně některých zákonů (zákon o finanční kontrole), ve znění pozdějších předpisů, a zákonem č. 255/2012 Sb., o kontrole (kontrolní řád), ve znění pozdějších předpisů.</w:t>
      </w:r>
    </w:p>
    <w:p w:rsidR="00F74FCF" w:rsidRPr="00F74FCF" w:rsidRDefault="00F74FCF" w:rsidP="00F74FCF">
      <w:pPr>
        <w:spacing w:before="240" w:after="0" w:line="170" w:lineRule="atLeast"/>
        <w:ind w:hanging="230"/>
        <w:jc w:val="both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(4) V případě nadměrné vyrovnávací platby poskytovatel vyrovnávací platby postupuje v souladu s článkem 6 odstavcem 2 Rozhodnutí č. 2012/21/EU. Poskytovatel sociální služby je povinen vrátit na účet poskytovatele vyrovnávací platby (MPSV) nadměrně vyplacenou částku. Pokud nadměrně vyplacená částka nepřesahuje 10 % průměrné roční vyrovnávací platby, lze tuto nadměrnou částku převést do dalšího období a odečíst ji od vyrovnávací platby splatné v daném období. Tento postup musí být stanoven v rámci příslušného právního aktu.</w:t>
      </w:r>
    </w:p>
    <w:p w:rsidR="00F74FCF" w:rsidRPr="00F74FCF" w:rsidRDefault="00F74FCF" w:rsidP="00F74FCF">
      <w:pPr>
        <w:spacing w:before="70" w:after="0" w:line="170" w:lineRule="atLeast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(5) Za nadměrné vyrovnání se považuje:</w:t>
      </w:r>
    </w:p>
    <w:p w:rsidR="00F74FCF" w:rsidRPr="007D7D93" w:rsidRDefault="00F74FCF" w:rsidP="007D7D93">
      <w:pPr>
        <w:pStyle w:val="Odstavecseseznamem"/>
        <w:numPr>
          <w:ilvl w:val="0"/>
          <w:numId w:val="5"/>
        </w:numPr>
        <w:spacing w:before="80" w:after="0" w:line="170" w:lineRule="atLeast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nezajistí-li poskytovatel sociální služby rozsah služby stanovený v Pověření a/nebo v právním aktu o poskytnutí vyrovnávací platby,</w:t>
      </w:r>
    </w:p>
    <w:p w:rsidR="00F74FCF" w:rsidRPr="007D7D93" w:rsidRDefault="00F74FCF" w:rsidP="007D7D93">
      <w:pPr>
        <w:pStyle w:val="Odstavecseseznamem"/>
        <w:numPr>
          <w:ilvl w:val="0"/>
          <w:numId w:val="5"/>
        </w:numPr>
        <w:spacing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b)výše rozdílu mezi náklady a výnosy za předpokladu, že poskytovatel finančních prostředků neumožní převedení finančních prostředků vyrovnávací platby do dalšího roku (max. 10 % vyrovnávací platby) nebo na tvorbu rezerv (příspěvkové organizace),</w:t>
      </w:r>
    </w:p>
    <w:p w:rsidR="00F74FCF" w:rsidRPr="007D7D93" w:rsidRDefault="00F74FCF" w:rsidP="007D7D93">
      <w:pPr>
        <w:pStyle w:val="Odstavecseseznamem"/>
        <w:numPr>
          <w:ilvl w:val="0"/>
          <w:numId w:val="5"/>
        </w:numPr>
        <w:spacing w:before="80" w:after="0" w:line="170" w:lineRule="atLeast"/>
        <w:jc w:val="both"/>
        <w:rPr>
          <w:rFonts w:eastAsia="Times New Roman" w:cstheme="minorHAnsi"/>
          <w:color w:val="000000"/>
          <w:lang w:eastAsia="cs-CZ"/>
        </w:rPr>
      </w:pPr>
      <w:r w:rsidRPr="007D7D93">
        <w:rPr>
          <w:rFonts w:eastAsia="Times New Roman" w:cstheme="minorHAnsi"/>
          <w:color w:val="000000"/>
          <w:lang w:eastAsia="cs-CZ"/>
        </w:rPr>
        <w:t>c)jsou-li skutečné výnosy sociální služby vyšší než výnosy služby stanovené (předpokládané) dle článku 5, za předpokladu, že poskytovatel sociální služby nezajistil vyšší rozsah poskytované sociální služby.</w:t>
      </w:r>
    </w:p>
    <w:p w:rsidR="00F74FCF" w:rsidRPr="00F74FCF" w:rsidRDefault="00F74FCF" w:rsidP="00F74FCF">
      <w:pPr>
        <w:spacing w:before="570" w:after="0" w:line="180" w:lineRule="atLeast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Další náležitosti</w:t>
      </w:r>
    </w:p>
    <w:p w:rsidR="00F74FCF" w:rsidRPr="00F74FCF" w:rsidRDefault="00F74FCF" w:rsidP="00F74FCF">
      <w:pPr>
        <w:spacing w:before="70" w:after="0" w:line="170" w:lineRule="atLeast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>MPSV (poskytovatel dotace) si vyhrazuje právo vyžádat si kdykoliv v průběhu realizace projektu další dokumenty a informace k poskytovaným sociálním službám.</w:t>
      </w:r>
    </w:p>
    <w:p w:rsidR="00F74FCF" w:rsidRPr="00F74FCF" w:rsidRDefault="00F74FCF" w:rsidP="00F74FCF">
      <w:pPr>
        <w:spacing w:before="240" w:after="0" w:line="180" w:lineRule="atLeast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F74FCF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Přílohy</w:t>
      </w:r>
      <w:r w:rsidR="007D7D9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(jsou součásti Výzvy MAS)</w:t>
      </w:r>
    </w:p>
    <w:p w:rsidR="00F74FCF" w:rsidRPr="00F74FCF" w:rsidRDefault="00F74FCF" w:rsidP="00F74FCF">
      <w:pPr>
        <w:spacing w:before="410" w:after="0" w:line="170" w:lineRule="atLeast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 xml:space="preserve">Příloha č. </w:t>
      </w:r>
      <w:r w:rsidR="00487494">
        <w:rPr>
          <w:rFonts w:eastAsia="Times New Roman" w:cstheme="minorHAnsi"/>
          <w:color w:val="000000"/>
          <w:lang w:eastAsia="cs-CZ"/>
        </w:rPr>
        <w:t>5</w:t>
      </w:r>
      <w:r w:rsidRPr="00F74FCF">
        <w:rPr>
          <w:rFonts w:eastAsia="Times New Roman" w:cstheme="minorHAnsi"/>
          <w:color w:val="000000"/>
          <w:lang w:eastAsia="cs-CZ"/>
        </w:rPr>
        <w:t xml:space="preserve"> – Údaje o sociální službě</w:t>
      </w:r>
    </w:p>
    <w:p w:rsidR="00796A43" w:rsidRPr="007552C8" w:rsidRDefault="00F74FCF" w:rsidP="007552C8">
      <w:pPr>
        <w:spacing w:before="170" w:after="0" w:line="170" w:lineRule="atLeast"/>
        <w:rPr>
          <w:rFonts w:eastAsia="Times New Roman" w:cstheme="minorHAnsi"/>
          <w:color w:val="000000"/>
          <w:lang w:eastAsia="cs-CZ"/>
        </w:rPr>
      </w:pPr>
      <w:r w:rsidRPr="00F74FCF">
        <w:rPr>
          <w:rFonts w:eastAsia="Times New Roman" w:cstheme="minorHAnsi"/>
          <w:color w:val="000000"/>
          <w:lang w:eastAsia="cs-CZ"/>
        </w:rPr>
        <w:t xml:space="preserve">Příloha č. </w:t>
      </w:r>
      <w:r w:rsidR="00487494">
        <w:rPr>
          <w:rFonts w:eastAsia="Times New Roman" w:cstheme="minorHAnsi"/>
          <w:color w:val="000000"/>
          <w:lang w:eastAsia="cs-CZ"/>
        </w:rPr>
        <w:t>6</w:t>
      </w:r>
      <w:r w:rsidRPr="00F74FCF">
        <w:rPr>
          <w:rFonts w:eastAsia="Times New Roman" w:cstheme="minorHAnsi"/>
          <w:color w:val="000000"/>
          <w:lang w:eastAsia="cs-CZ"/>
        </w:rPr>
        <w:t xml:space="preserve"> - Přehled čerpání vyrovnávací platby na sociální službu (skutečnost)</w:t>
      </w:r>
    </w:p>
    <w:sectPr w:rsidR="00796A43" w:rsidRPr="007552C8" w:rsidSect="00796A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39" w:rsidRDefault="00883A39" w:rsidP="00F74FCF">
      <w:pPr>
        <w:spacing w:after="0" w:line="240" w:lineRule="auto"/>
      </w:pPr>
      <w:r>
        <w:separator/>
      </w:r>
    </w:p>
  </w:endnote>
  <w:endnote w:type="continuationSeparator" w:id="0">
    <w:p w:rsidR="00883A39" w:rsidRDefault="00883A39" w:rsidP="00F7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FCF" w:rsidRDefault="00883A39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A47F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39" w:rsidRDefault="00883A39" w:rsidP="00F74FCF">
      <w:pPr>
        <w:spacing w:after="0" w:line="240" w:lineRule="auto"/>
      </w:pPr>
      <w:r>
        <w:separator/>
      </w:r>
    </w:p>
  </w:footnote>
  <w:footnote w:type="continuationSeparator" w:id="0">
    <w:p w:rsidR="00883A39" w:rsidRDefault="00883A39" w:rsidP="00F7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94" w:rsidRDefault="006A47FE">
    <w:pPr>
      <w:pStyle w:val="Zhlav"/>
    </w:pPr>
    <w:r w:rsidRPr="00EC5C81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F7999F6" wp14:editId="57144E4E">
          <wp:simplePos x="0" y="0"/>
          <wp:positionH relativeFrom="margin">
            <wp:posOffset>3864610</wp:posOffset>
          </wp:positionH>
          <wp:positionV relativeFrom="paragraph">
            <wp:posOffset>-286385</wp:posOffset>
          </wp:positionV>
          <wp:extent cx="2508250" cy="607695"/>
          <wp:effectExtent l="0" t="0" r="6350" b="1905"/>
          <wp:wrapTight wrapText="bothSides">
            <wp:wrapPolygon edited="0">
              <wp:start x="0" y="0"/>
              <wp:lineTo x="0" y="20991"/>
              <wp:lineTo x="21491" y="20991"/>
              <wp:lineTo x="21491" y="0"/>
              <wp:lineTo x="0" y="0"/>
            </wp:wrapPolygon>
          </wp:wrapTight>
          <wp:docPr id="1" name="Obrázek 1" descr="C:\Users\Pšejová\Desktop\logo MAS Jižní Han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šejová\Desktop\logo MAS Jižní Haná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494" w:rsidRPr="00487494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203776</wp:posOffset>
          </wp:positionH>
          <wp:positionV relativeFrom="paragraph">
            <wp:posOffset>-130603</wp:posOffset>
          </wp:positionV>
          <wp:extent cx="2670987" cy="552893"/>
          <wp:effectExtent l="19050" t="0" r="0" b="0"/>
          <wp:wrapTight wrapText="bothSides">
            <wp:wrapPolygon edited="0">
              <wp:start x="-154" y="0"/>
              <wp:lineTo x="-154" y="20952"/>
              <wp:lineTo x="21549" y="20952"/>
              <wp:lineTo x="21549" y="0"/>
              <wp:lineTo x="-154" y="0"/>
            </wp:wrapPolygon>
          </wp:wrapTight>
          <wp:docPr id="4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8F2"/>
    <w:multiLevelType w:val="hybridMultilevel"/>
    <w:tmpl w:val="9A1E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4CE4"/>
    <w:multiLevelType w:val="hybridMultilevel"/>
    <w:tmpl w:val="25800AF8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6D96FB7"/>
    <w:multiLevelType w:val="hybridMultilevel"/>
    <w:tmpl w:val="01243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5B28"/>
    <w:multiLevelType w:val="hybridMultilevel"/>
    <w:tmpl w:val="C66A7A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1FA7F8C"/>
    <w:multiLevelType w:val="hybridMultilevel"/>
    <w:tmpl w:val="8DC09BC4"/>
    <w:lvl w:ilvl="0" w:tplc="1BA29F4C">
      <w:start w:val="1"/>
      <w:numFmt w:val="lowerLetter"/>
      <w:lvlText w:val="%1)"/>
      <w:lvlJc w:val="left"/>
      <w:pPr>
        <w:ind w:left="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0" w:hanging="360"/>
      </w:pPr>
    </w:lvl>
    <w:lvl w:ilvl="2" w:tplc="0405001B" w:tentative="1">
      <w:start w:val="1"/>
      <w:numFmt w:val="lowerRoman"/>
      <w:lvlText w:val="%3."/>
      <w:lvlJc w:val="right"/>
      <w:pPr>
        <w:ind w:left="1570" w:hanging="180"/>
      </w:pPr>
    </w:lvl>
    <w:lvl w:ilvl="3" w:tplc="0405000F" w:tentative="1">
      <w:start w:val="1"/>
      <w:numFmt w:val="decimal"/>
      <w:lvlText w:val="%4."/>
      <w:lvlJc w:val="left"/>
      <w:pPr>
        <w:ind w:left="2290" w:hanging="360"/>
      </w:pPr>
    </w:lvl>
    <w:lvl w:ilvl="4" w:tplc="04050019" w:tentative="1">
      <w:start w:val="1"/>
      <w:numFmt w:val="lowerLetter"/>
      <w:lvlText w:val="%5."/>
      <w:lvlJc w:val="left"/>
      <w:pPr>
        <w:ind w:left="3010" w:hanging="360"/>
      </w:pPr>
    </w:lvl>
    <w:lvl w:ilvl="5" w:tplc="0405001B" w:tentative="1">
      <w:start w:val="1"/>
      <w:numFmt w:val="lowerRoman"/>
      <w:lvlText w:val="%6."/>
      <w:lvlJc w:val="right"/>
      <w:pPr>
        <w:ind w:left="3730" w:hanging="180"/>
      </w:pPr>
    </w:lvl>
    <w:lvl w:ilvl="6" w:tplc="0405000F" w:tentative="1">
      <w:start w:val="1"/>
      <w:numFmt w:val="decimal"/>
      <w:lvlText w:val="%7."/>
      <w:lvlJc w:val="left"/>
      <w:pPr>
        <w:ind w:left="4450" w:hanging="360"/>
      </w:pPr>
    </w:lvl>
    <w:lvl w:ilvl="7" w:tplc="04050019" w:tentative="1">
      <w:start w:val="1"/>
      <w:numFmt w:val="lowerLetter"/>
      <w:lvlText w:val="%8."/>
      <w:lvlJc w:val="left"/>
      <w:pPr>
        <w:ind w:left="5170" w:hanging="360"/>
      </w:pPr>
    </w:lvl>
    <w:lvl w:ilvl="8" w:tplc="040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5" w15:restartNumberingAfterBreak="0">
    <w:nsid w:val="6EB27A58"/>
    <w:multiLevelType w:val="hybridMultilevel"/>
    <w:tmpl w:val="A86CC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CF"/>
    <w:rsid w:val="00041862"/>
    <w:rsid w:val="00050D64"/>
    <w:rsid w:val="002869A1"/>
    <w:rsid w:val="003115A5"/>
    <w:rsid w:val="003557A9"/>
    <w:rsid w:val="00487494"/>
    <w:rsid w:val="006A47FE"/>
    <w:rsid w:val="00714BAF"/>
    <w:rsid w:val="007552C8"/>
    <w:rsid w:val="00796A43"/>
    <w:rsid w:val="007D7D93"/>
    <w:rsid w:val="00883A39"/>
    <w:rsid w:val="00F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B32D9-865D-4B93-9E60-AD15855C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0">
    <w:name w:val="p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4FCF"/>
    <w:rPr>
      <w:color w:val="0000FF"/>
      <w:u w:val="single"/>
    </w:rPr>
  </w:style>
  <w:style w:type="paragraph" w:customStyle="1" w:styleId="p3">
    <w:name w:val="p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">
    <w:name w:val="p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">
    <w:name w:val="p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">
    <w:name w:val="p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">
    <w:name w:val="ft4"/>
    <w:basedOn w:val="Standardnpsmoodstavce"/>
    <w:rsid w:val="00F74FCF"/>
  </w:style>
  <w:style w:type="character" w:customStyle="1" w:styleId="ft7">
    <w:name w:val="ft7"/>
    <w:basedOn w:val="Standardnpsmoodstavce"/>
    <w:rsid w:val="00F74FCF"/>
  </w:style>
  <w:style w:type="paragraph" w:customStyle="1" w:styleId="p8">
    <w:name w:val="p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">
    <w:name w:val="p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74FCF"/>
  </w:style>
  <w:style w:type="character" w:customStyle="1" w:styleId="ft8">
    <w:name w:val="ft8"/>
    <w:basedOn w:val="Standardnpsmoodstavce"/>
    <w:rsid w:val="00F74FCF"/>
  </w:style>
  <w:style w:type="paragraph" w:customStyle="1" w:styleId="p10">
    <w:name w:val="p1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9">
    <w:name w:val="ft9"/>
    <w:basedOn w:val="Standardnpsmoodstavce"/>
    <w:rsid w:val="00F74FCF"/>
  </w:style>
  <w:style w:type="paragraph" w:customStyle="1" w:styleId="p11">
    <w:name w:val="p1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0">
    <w:name w:val="ft10"/>
    <w:basedOn w:val="Standardnpsmoodstavce"/>
    <w:rsid w:val="00F74FCF"/>
  </w:style>
  <w:style w:type="character" w:customStyle="1" w:styleId="ft6">
    <w:name w:val="ft6"/>
    <w:basedOn w:val="Standardnpsmoodstavce"/>
    <w:rsid w:val="00F74FCF"/>
  </w:style>
  <w:style w:type="paragraph" w:customStyle="1" w:styleId="p12">
    <w:name w:val="p1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">
    <w:name w:val="p1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4">
    <w:name w:val="p1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">
    <w:name w:val="p1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6">
    <w:name w:val="p1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7">
    <w:name w:val="p1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1">
    <w:name w:val="ft11"/>
    <w:basedOn w:val="Standardnpsmoodstavce"/>
    <w:rsid w:val="00F74FCF"/>
  </w:style>
  <w:style w:type="character" w:customStyle="1" w:styleId="ft12">
    <w:name w:val="ft12"/>
    <w:basedOn w:val="Standardnpsmoodstavce"/>
    <w:rsid w:val="00F74FCF"/>
  </w:style>
  <w:style w:type="paragraph" w:customStyle="1" w:styleId="p18">
    <w:name w:val="p1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9">
    <w:name w:val="p1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0">
    <w:name w:val="p2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4">
    <w:name w:val="ft14"/>
    <w:basedOn w:val="Standardnpsmoodstavce"/>
    <w:rsid w:val="00F74FCF"/>
  </w:style>
  <w:style w:type="paragraph" w:customStyle="1" w:styleId="p21">
    <w:name w:val="p2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2">
    <w:name w:val="p2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3">
    <w:name w:val="p2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5">
    <w:name w:val="ft15"/>
    <w:basedOn w:val="Standardnpsmoodstavce"/>
    <w:rsid w:val="00F74FCF"/>
  </w:style>
  <w:style w:type="paragraph" w:customStyle="1" w:styleId="p24">
    <w:name w:val="p2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5">
    <w:name w:val="p2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6">
    <w:name w:val="p2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7">
    <w:name w:val="ft17"/>
    <w:basedOn w:val="Standardnpsmoodstavce"/>
    <w:rsid w:val="00F74FCF"/>
  </w:style>
  <w:style w:type="character" w:customStyle="1" w:styleId="ft18">
    <w:name w:val="ft18"/>
    <w:basedOn w:val="Standardnpsmoodstavce"/>
    <w:rsid w:val="00F74FCF"/>
  </w:style>
  <w:style w:type="paragraph" w:customStyle="1" w:styleId="p27">
    <w:name w:val="p2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16">
    <w:name w:val="ft16"/>
    <w:basedOn w:val="Standardnpsmoodstavce"/>
    <w:rsid w:val="00F74FCF"/>
  </w:style>
  <w:style w:type="character" w:customStyle="1" w:styleId="ft19">
    <w:name w:val="ft19"/>
    <w:basedOn w:val="Standardnpsmoodstavce"/>
    <w:rsid w:val="00F74FCF"/>
  </w:style>
  <w:style w:type="paragraph" w:customStyle="1" w:styleId="p28">
    <w:name w:val="p2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0">
    <w:name w:val="ft20"/>
    <w:basedOn w:val="Standardnpsmoodstavce"/>
    <w:rsid w:val="00F74FCF"/>
  </w:style>
  <w:style w:type="character" w:customStyle="1" w:styleId="ft21">
    <w:name w:val="ft21"/>
    <w:basedOn w:val="Standardnpsmoodstavce"/>
    <w:rsid w:val="00F74FCF"/>
  </w:style>
  <w:style w:type="character" w:customStyle="1" w:styleId="ft22">
    <w:name w:val="ft22"/>
    <w:basedOn w:val="Standardnpsmoodstavce"/>
    <w:rsid w:val="00F74FCF"/>
  </w:style>
  <w:style w:type="paragraph" w:customStyle="1" w:styleId="p29">
    <w:name w:val="p2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0">
    <w:name w:val="p3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3">
    <w:name w:val="ft23"/>
    <w:basedOn w:val="Standardnpsmoodstavce"/>
    <w:rsid w:val="00F74FCF"/>
  </w:style>
  <w:style w:type="paragraph" w:customStyle="1" w:styleId="p31">
    <w:name w:val="p3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2">
    <w:name w:val="p3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4">
    <w:name w:val="ft24"/>
    <w:basedOn w:val="Standardnpsmoodstavce"/>
    <w:rsid w:val="00F74FCF"/>
  </w:style>
  <w:style w:type="paragraph" w:customStyle="1" w:styleId="p33">
    <w:name w:val="p3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4">
    <w:name w:val="p3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5">
    <w:name w:val="ft25"/>
    <w:basedOn w:val="Standardnpsmoodstavce"/>
    <w:rsid w:val="00F74FCF"/>
  </w:style>
  <w:style w:type="paragraph" w:customStyle="1" w:styleId="p35">
    <w:name w:val="p3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6">
    <w:name w:val="p3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7">
    <w:name w:val="p3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8">
    <w:name w:val="p3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6">
    <w:name w:val="ft26"/>
    <w:basedOn w:val="Standardnpsmoodstavce"/>
    <w:rsid w:val="00F74FCF"/>
  </w:style>
  <w:style w:type="character" w:customStyle="1" w:styleId="ft27">
    <w:name w:val="ft27"/>
    <w:basedOn w:val="Standardnpsmoodstavce"/>
    <w:rsid w:val="00F74FCF"/>
  </w:style>
  <w:style w:type="paragraph" w:customStyle="1" w:styleId="p39">
    <w:name w:val="p3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0">
    <w:name w:val="p4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1">
    <w:name w:val="p4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2">
    <w:name w:val="p4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3">
    <w:name w:val="p4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4">
    <w:name w:val="p4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5">
    <w:name w:val="p4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8">
    <w:name w:val="ft28"/>
    <w:basedOn w:val="Standardnpsmoodstavce"/>
    <w:rsid w:val="00F74FCF"/>
  </w:style>
  <w:style w:type="paragraph" w:customStyle="1" w:styleId="p46">
    <w:name w:val="p4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29">
    <w:name w:val="ft29"/>
    <w:basedOn w:val="Standardnpsmoodstavce"/>
    <w:rsid w:val="00F74FCF"/>
  </w:style>
  <w:style w:type="paragraph" w:customStyle="1" w:styleId="p47">
    <w:name w:val="p4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8">
    <w:name w:val="p4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9">
    <w:name w:val="p4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0">
    <w:name w:val="p5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2">
    <w:name w:val="ft32"/>
    <w:basedOn w:val="Standardnpsmoodstavce"/>
    <w:rsid w:val="00F74FCF"/>
  </w:style>
  <w:style w:type="paragraph" w:customStyle="1" w:styleId="p51">
    <w:name w:val="p5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3">
    <w:name w:val="ft33"/>
    <w:basedOn w:val="Standardnpsmoodstavce"/>
    <w:rsid w:val="00F74FCF"/>
  </w:style>
  <w:style w:type="paragraph" w:customStyle="1" w:styleId="p52">
    <w:name w:val="p5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3">
    <w:name w:val="p5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4">
    <w:name w:val="ft34"/>
    <w:basedOn w:val="Standardnpsmoodstavce"/>
    <w:rsid w:val="00F74FCF"/>
  </w:style>
  <w:style w:type="character" w:customStyle="1" w:styleId="ft35">
    <w:name w:val="ft35"/>
    <w:basedOn w:val="Standardnpsmoodstavce"/>
    <w:rsid w:val="00F74FCF"/>
  </w:style>
  <w:style w:type="paragraph" w:customStyle="1" w:styleId="p54">
    <w:name w:val="p5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6">
    <w:name w:val="ft36"/>
    <w:basedOn w:val="Standardnpsmoodstavce"/>
    <w:rsid w:val="00F74FCF"/>
  </w:style>
  <w:style w:type="paragraph" w:customStyle="1" w:styleId="p55">
    <w:name w:val="p5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6">
    <w:name w:val="p5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7">
    <w:name w:val="p5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8">
    <w:name w:val="p5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9">
    <w:name w:val="p5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0">
    <w:name w:val="p6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1">
    <w:name w:val="p6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37">
    <w:name w:val="ft37"/>
    <w:basedOn w:val="Standardnpsmoodstavce"/>
    <w:rsid w:val="00F74FCF"/>
  </w:style>
  <w:style w:type="character" w:customStyle="1" w:styleId="ft38">
    <w:name w:val="ft38"/>
    <w:basedOn w:val="Standardnpsmoodstavce"/>
    <w:rsid w:val="00F74FCF"/>
  </w:style>
  <w:style w:type="character" w:customStyle="1" w:styleId="ft39">
    <w:name w:val="ft39"/>
    <w:basedOn w:val="Standardnpsmoodstavce"/>
    <w:rsid w:val="00F74FCF"/>
  </w:style>
  <w:style w:type="paragraph" w:customStyle="1" w:styleId="p62">
    <w:name w:val="p6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3">
    <w:name w:val="p6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0">
    <w:name w:val="ft40"/>
    <w:basedOn w:val="Standardnpsmoodstavce"/>
    <w:rsid w:val="00F74FCF"/>
  </w:style>
  <w:style w:type="paragraph" w:customStyle="1" w:styleId="p64">
    <w:name w:val="p6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5">
    <w:name w:val="p6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6">
    <w:name w:val="p6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7">
    <w:name w:val="p6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2">
    <w:name w:val="ft42"/>
    <w:basedOn w:val="Standardnpsmoodstavce"/>
    <w:rsid w:val="00F74FCF"/>
  </w:style>
  <w:style w:type="paragraph" w:customStyle="1" w:styleId="p68">
    <w:name w:val="p6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4">
    <w:name w:val="ft44"/>
    <w:basedOn w:val="Standardnpsmoodstavce"/>
    <w:rsid w:val="00F74FCF"/>
  </w:style>
  <w:style w:type="character" w:customStyle="1" w:styleId="ft45">
    <w:name w:val="ft45"/>
    <w:basedOn w:val="Standardnpsmoodstavce"/>
    <w:rsid w:val="00F74FCF"/>
  </w:style>
  <w:style w:type="paragraph" w:customStyle="1" w:styleId="p69">
    <w:name w:val="p6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6">
    <w:name w:val="ft46"/>
    <w:basedOn w:val="Standardnpsmoodstavce"/>
    <w:rsid w:val="00F74FCF"/>
  </w:style>
  <w:style w:type="character" w:customStyle="1" w:styleId="ft47">
    <w:name w:val="ft47"/>
    <w:basedOn w:val="Standardnpsmoodstavce"/>
    <w:rsid w:val="00F74FCF"/>
  </w:style>
  <w:style w:type="paragraph" w:customStyle="1" w:styleId="p70">
    <w:name w:val="p7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1">
    <w:name w:val="p7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2">
    <w:name w:val="p7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8">
    <w:name w:val="ft48"/>
    <w:basedOn w:val="Standardnpsmoodstavce"/>
    <w:rsid w:val="00F74FCF"/>
  </w:style>
  <w:style w:type="paragraph" w:customStyle="1" w:styleId="p73">
    <w:name w:val="p7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4">
    <w:name w:val="p7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5">
    <w:name w:val="p7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6">
    <w:name w:val="p7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49">
    <w:name w:val="ft49"/>
    <w:basedOn w:val="Standardnpsmoodstavce"/>
    <w:rsid w:val="00F74FCF"/>
  </w:style>
  <w:style w:type="paragraph" w:customStyle="1" w:styleId="p77">
    <w:name w:val="p7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8">
    <w:name w:val="p7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9">
    <w:name w:val="p7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0">
    <w:name w:val="p8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1">
    <w:name w:val="p8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2">
    <w:name w:val="p8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3">
    <w:name w:val="p8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0">
    <w:name w:val="ft50"/>
    <w:basedOn w:val="Standardnpsmoodstavce"/>
    <w:rsid w:val="00F74FCF"/>
  </w:style>
  <w:style w:type="character" w:customStyle="1" w:styleId="ft51">
    <w:name w:val="ft51"/>
    <w:basedOn w:val="Standardnpsmoodstavce"/>
    <w:rsid w:val="00F74FCF"/>
  </w:style>
  <w:style w:type="character" w:customStyle="1" w:styleId="ft2">
    <w:name w:val="ft2"/>
    <w:basedOn w:val="Standardnpsmoodstavce"/>
    <w:rsid w:val="00F74FCF"/>
  </w:style>
  <w:style w:type="paragraph" w:customStyle="1" w:styleId="p84">
    <w:name w:val="p8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2">
    <w:name w:val="ft52"/>
    <w:basedOn w:val="Standardnpsmoodstavce"/>
    <w:rsid w:val="00F74FCF"/>
  </w:style>
  <w:style w:type="paragraph" w:customStyle="1" w:styleId="p85">
    <w:name w:val="p8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6">
    <w:name w:val="p8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3">
    <w:name w:val="ft53"/>
    <w:basedOn w:val="Standardnpsmoodstavce"/>
    <w:rsid w:val="00F74FCF"/>
  </w:style>
  <w:style w:type="character" w:customStyle="1" w:styleId="ft54">
    <w:name w:val="ft54"/>
    <w:basedOn w:val="Standardnpsmoodstavce"/>
    <w:rsid w:val="00F74FCF"/>
  </w:style>
  <w:style w:type="paragraph" w:customStyle="1" w:styleId="p87">
    <w:name w:val="p8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8">
    <w:name w:val="p8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89">
    <w:name w:val="p8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0">
    <w:name w:val="p9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1">
    <w:name w:val="p9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2">
    <w:name w:val="p92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3">
    <w:name w:val="p93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4">
    <w:name w:val="p94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5">
    <w:name w:val="p95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t55">
    <w:name w:val="ft55"/>
    <w:basedOn w:val="Standardnpsmoodstavce"/>
    <w:rsid w:val="00F74FCF"/>
  </w:style>
  <w:style w:type="paragraph" w:customStyle="1" w:styleId="p96">
    <w:name w:val="p96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7">
    <w:name w:val="p97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8">
    <w:name w:val="p98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9">
    <w:name w:val="p99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0">
    <w:name w:val="p100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01">
    <w:name w:val="p101"/>
    <w:basedOn w:val="Normln"/>
    <w:rsid w:val="00F7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F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FCF"/>
  </w:style>
  <w:style w:type="paragraph" w:styleId="Zpat">
    <w:name w:val="footer"/>
    <w:basedOn w:val="Normln"/>
    <w:link w:val="ZpatChar"/>
    <w:uiPriority w:val="99"/>
    <w:unhideWhenUsed/>
    <w:rsid w:val="00F7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73">
          <w:marLeft w:val="0"/>
          <w:marRight w:val="0"/>
          <w:marTop w:val="95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18">
          <w:marLeft w:val="940"/>
          <w:marRight w:val="0"/>
          <w:marTop w:val="95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896">
          <w:marLeft w:val="94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535">
          <w:marLeft w:val="94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5075">
          <w:marLeft w:val="940"/>
          <w:marRight w:val="0"/>
          <w:marTop w:val="95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3710">
          <w:marLeft w:val="94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537">
          <w:marLeft w:val="94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174">
          <w:marLeft w:val="0"/>
          <w:marRight w:val="0"/>
          <w:marTop w:val="96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7464-D8FB-4E21-B30F-63030AB4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2901</Words>
  <Characters>17121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Pšejová</cp:lastModifiedBy>
  <cp:revision>3</cp:revision>
  <dcterms:created xsi:type="dcterms:W3CDTF">2018-03-07T10:12:00Z</dcterms:created>
  <dcterms:modified xsi:type="dcterms:W3CDTF">2018-03-07T10:13:00Z</dcterms:modified>
</cp:coreProperties>
</file>